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153ED" w14:textId="275A4987" w:rsidR="00B40085" w:rsidRDefault="00B40085" w:rsidP="0027266D">
      <w:pPr>
        <w:autoSpaceDE w:val="0"/>
        <w:autoSpaceDN w:val="0"/>
        <w:adjustRightInd w:val="0"/>
        <w:spacing w:after="0" w:line="240" w:lineRule="auto"/>
        <w:jc w:val="center"/>
        <w:rPr>
          <w:rFonts w:ascii="Arial" w:hAnsi="Arial" w:cs="Arial"/>
          <w:b/>
          <w:bCs/>
          <w:sz w:val="24"/>
          <w:szCs w:val="24"/>
          <w:u w:val="single"/>
        </w:rPr>
      </w:pPr>
      <w:r>
        <w:rPr>
          <w:noProof/>
        </w:rPr>
        <w:drawing>
          <wp:inline distT="0" distB="0" distL="0" distR="0" wp14:anchorId="53469895" wp14:editId="0DE0D4A3">
            <wp:extent cx="2844800" cy="79803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1020" cy="830635"/>
                    </a:xfrm>
                    <a:prstGeom prst="rect">
                      <a:avLst/>
                    </a:prstGeom>
                    <a:noFill/>
                    <a:ln>
                      <a:noFill/>
                    </a:ln>
                  </pic:spPr>
                </pic:pic>
              </a:graphicData>
            </a:graphic>
          </wp:inline>
        </w:drawing>
      </w:r>
    </w:p>
    <w:p w14:paraId="089C69E8" w14:textId="77777777" w:rsidR="00B40085" w:rsidRPr="00B40085" w:rsidRDefault="008333F6" w:rsidP="0027266D">
      <w:pPr>
        <w:autoSpaceDE w:val="0"/>
        <w:autoSpaceDN w:val="0"/>
        <w:adjustRightInd w:val="0"/>
        <w:spacing w:after="0" w:line="240" w:lineRule="auto"/>
        <w:jc w:val="center"/>
        <w:rPr>
          <w:rFonts w:ascii="Arial" w:hAnsi="Arial" w:cs="Arial"/>
          <w:b/>
          <w:bCs/>
          <w:sz w:val="24"/>
          <w:szCs w:val="24"/>
        </w:rPr>
      </w:pPr>
      <w:r w:rsidRPr="00B40085">
        <w:rPr>
          <w:rFonts w:ascii="Arial" w:hAnsi="Arial" w:cs="Arial"/>
          <w:b/>
          <w:bCs/>
          <w:sz w:val="24"/>
          <w:szCs w:val="24"/>
        </w:rPr>
        <w:t xml:space="preserve">GUILDFORD </w:t>
      </w:r>
      <w:r w:rsidR="00B779CA" w:rsidRPr="00B40085">
        <w:rPr>
          <w:rFonts w:ascii="Arial" w:hAnsi="Arial" w:cs="Arial"/>
          <w:b/>
          <w:bCs/>
          <w:sz w:val="24"/>
          <w:szCs w:val="24"/>
        </w:rPr>
        <w:t>BOROUGH COUNCIL</w:t>
      </w:r>
    </w:p>
    <w:p w14:paraId="10684422" w14:textId="054A25E5" w:rsidR="008333F6" w:rsidRPr="00B40085" w:rsidRDefault="00F431DA" w:rsidP="0027266D">
      <w:pPr>
        <w:autoSpaceDE w:val="0"/>
        <w:autoSpaceDN w:val="0"/>
        <w:adjustRightInd w:val="0"/>
        <w:spacing w:after="0" w:line="240" w:lineRule="auto"/>
        <w:jc w:val="center"/>
        <w:rPr>
          <w:rFonts w:ascii="Arial" w:hAnsi="Arial" w:cs="Arial"/>
          <w:b/>
          <w:bCs/>
          <w:sz w:val="24"/>
          <w:szCs w:val="24"/>
        </w:rPr>
      </w:pPr>
      <w:r w:rsidRPr="00B40085">
        <w:rPr>
          <w:rFonts w:ascii="Arial" w:hAnsi="Arial" w:cs="Arial"/>
          <w:b/>
          <w:bCs/>
          <w:sz w:val="24"/>
          <w:szCs w:val="24"/>
        </w:rPr>
        <w:t xml:space="preserve"> </w:t>
      </w:r>
      <w:r w:rsidR="006F48C1" w:rsidRPr="00B40085">
        <w:rPr>
          <w:rFonts w:ascii="Arial" w:hAnsi="Arial" w:cs="Arial"/>
          <w:b/>
          <w:bCs/>
          <w:sz w:val="24"/>
          <w:szCs w:val="24"/>
        </w:rPr>
        <w:t xml:space="preserve">COVID </w:t>
      </w:r>
      <w:r w:rsidR="00B779CA" w:rsidRPr="00B40085">
        <w:rPr>
          <w:rFonts w:ascii="Arial" w:hAnsi="Arial" w:cs="Arial"/>
          <w:b/>
          <w:bCs/>
          <w:sz w:val="24"/>
          <w:szCs w:val="24"/>
        </w:rPr>
        <w:t xml:space="preserve">BUSINESS </w:t>
      </w:r>
      <w:r w:rsidR="00DE3AC7" w:rsidRPr="00B40085">
        <w:rPr>
          <w:rFonts w:ascii="Arial" w:hAnsi="Arial" w:cs="Arial"/>
          <w:b/>
          <w:bCs/>
          <w:sz w:val="24"/>
          <w:szCs w:val="24"/>
        </w:rPr>
        <w:t>DEVELOPMENT GRANTS</w:t>
      </w:r>
      <w:r w:rsidR="00780765" w:rsidRPr="00B40085">
        <w:rPr>
          <w:rFonts w:ascii="Arial" w:hAnsi="Arial" w:cs="Arial"/>
          <w:b/>
          <w:bCs/>
          <w:sz w:val="24"/>
          <w:szCs w:val="24"/>
        </w:rPr>
        <w:t xml:space="preserve"> SCHEME </w:t>
      </w:r>
      <w:r w:rsidR="00146C43" w:rsidRPr="00B40085">
        <w:rPr>
          <w:rFonts w:ascii="Arial" w:hAnsi="Arial" w:cs="Arial"/>
          <w:b/>
          <w:bCs/>
          <w:sz w:val="24"/>
          <w:szCs w:val="24"/>
        </w:rPr>
        <w:t>20</w:t>
      </w:r>
      <w:r w:rsidRPr="00B40085">
        <w:rPr>
          <w:rFonts w:ascii="Arial" w:hAnsi="Arial" w:cs="Arial"/>
          <w:b/>
          <w:bCs/>
          <w:sz w:val="24"/>
          <w:szCs w:val="24"/>
        </w:rPr>
        <w:t>21/22</w:t>
      </w:r>
    </w:p>
    <w:p w14:paraId="10684424" w14:textId="77777777" w:rsidR="008333F6" w:rsidRPr="00B40085" w:rsidRDefault="008333F6" w:rsidP="00B40085">
      <w:pPr>
        <w:autoSpaceDE w:val="0"/>
        <w:autoSpaceDN w:val="0"/>
        <w:adjustRightInd w:val="0"/>
        <w:spacing w:after="0" w:line="240" w:lineRule="auto"/>
        <w:jc w:val="center"/>
        <w:rPr>
          <w:rFonts w:ascii="Arial" w:hAnsi="Arial" w:cs="Arial"/>
          <w:b/>
          <w:bCs/>
          <w:sz w:val="24"/>
          <w:szCs w:val="24"/>
        </w:rPr>
      </w:pPr>
      <w:r w:rsidRPr="00B40085">
        <w:rPr>
          <w:rFonts w:ascii="Arial" w:hAnsi="Arial" w:cs="Arial"/>
          <w:b/>
          <w:bCs/>
          <w:sz w:val="24"/>
          <w:szCs w:val="24"/>
        </w:rPr>
        <w:t>GUIDANCE NOTES</w:t>
      </w:r>
    </w:p>
    <w:p w14:paraId="10684426" w14:textId="77777777" w:rsidR="00B779CA" w:rsidRDefault="00B779CA" w:rsidP="008333F6">
      <w:pPr>
        <w:autoSpaceDE w:val="0"/>
        <w:autoSpaceDN w:val="0"/>
        <w:adjustRightInd w:val="0"/>
        <w:spacing w:after="0" w:line="240" w:lineRule="auto"/>
        <w:rPr>
          <w:rFonts w:ascii="Arial" w:hAnsi="Arial" w:cs="Arial"/>
          <w:b/>
          <w:bCs/>
        </w:rPr>
      </w:pPr>
    </w:p>
    <w:p w14:paraId="10684427" w14:textId="51DF6FCA" w:rsidR="008333F6" w:rsidRDefault="008333F6" w:rsidP="00B40085">
      <w:pPr>
        <w:autoSpaceDE w:val="0"/>
        <w:autoSpaceDN w:val="0"/>
        <w:adjustRightInd w:val="0"/>
        <w:spacing w:after="0" w:line="240" w:lineRule="auto"/>
        <w:ind w:left="567" w:hanging="567"/>
        <w:rPr>
          <w:rFonts w:ascii="Arial" w:hAnsi="Arial" w:cs="Arial"/>
          <w:b/>
          <w:bCs/>
        </w:rPr>
      </w:pPr>
      <w:r>
        <w:rPr>
          <w:rFonts w:ascii="Arial" w:hAnsi="Arial" w:cs="Arial"/>
          <w:b/>
          <w:bCs/>
        </w:rPr>
        <w:t>1.</w:t>
      </w:r>
      <w:r w:rsidR="00B40085">
        <w:rPr>
          <w:rFonts w:ascii="Arial" w:hAnsi="Arial" w:cs="Arial"/>
          <w:b/>
          <w:bCs/>
        </w:rPr>
        <w:tab/>
      </w:r>
      <w:r>
        <w:rPr>
          <w:rFonts w:ascii="Arial" w:hAnsi="Arial" w:cs="Arial"/>
          <w:b/>
          <w:bCs/>
        </w:rPr>
        <w:t>GENERAL</w:t>
      </w:r>
    </w:p>
    <w:p w14:paraId="10684429" w14:textId="2DB21174" w:rsidR="008333F6" w:rsidRDefault="00B779CA" w:rsidP="00B40085">
      <w:pPr>
        <w:autoSpaceDE w:val="0"/>
        <w:autoSpaceDN w:val="0"/>
        <w:adjustRightInd w:val="0"/>
        <w:spacing w:after="0" w:line="240" w:lineRule="auto"/>
        <w:ind w:left="567"/>
        <w:rPr>
          <w:rFonts w:ascii="Arial" w:hAnsi="Arial" w:cs="Arial"/>
        </w:rPr>
      </w:pPr>
      <w:r>
        <w:rPr>
          <w:rFonts w:ascii="Arial" w:hAnsi="Arial" w:cs="Arial"/>
        </w:rPr>
        <w:t xml:space="preserve">Guildford Borough Council’s </w:t>
      </w:r>
      <w:r w:rsidR="006F48C1">
        <w:rPr>
          <w:rFonts w:ascii="Arial" w:hAnsi="Arial" w:cs="Arial"/>
        </w:rPr>
        <w:t xml:space="preserve">COVID </w:t>
      </w:r>
      <w:r>
        <w:rPr>
          <w:rFonts w:ascii="Arial" w:hAnsi="Arial" w:cs="Arial"/>
        </w:rPr>
        <w:t>business development grants scheme supports</w:t>
      </w:r>
      <w:r w:rsidR="00727852">
        <w:rPr>
          <w:rFonts w:ascii="Arial" w:hAnsi="Arial" w:cs="Arial"/>
        </w:rPr>
        <w:t xml:space="preserve"> Guildford based</w:t>
      </w:r>
      <w:r>
        <w:rPr>
          <w:rFonts w:ascii="Arial" w:hAnsi="Arial" w:cs="Arial"/>
        </w:rPr>
        <w:t xml:space="preserve"> </w:t>
      </w:r>
      <w:r w:rsidR="00BA4830">
        <w:rPr>
          <w:rFonts w:ascii="Arial" w:hAnsi="Arial" w:cs="Arial"/>
        </w:rPr>
        <w:t xml:space="preserve">businesses </w:t>
      </w:r>
      <w:r w:rsidR="006F48C1">
        <w:rPr>
          <w:rFonts w:ascii="Arial" w:hAnsi="Arial" w:cs="Arial"/>
        </w:rPr>
        <w:t xml:space="preserve">that have been severely impacted by restrictions to </w:t>
      </w:r>
      <w:r w:rsidR="001C1ADE">
        <w:rPr>
          <w:rFonts w:ascii="Arial" w:hAnsi="Arial" w:cs="Arial"/>
        </w:rPr>
        <w:t>deliver</w:t>
      </w:r>
      <w:r>
        <w:rPr>
          <w:rFonts w:ascii="Arial" w:hAnsi="Arial" w:cs="Arial"/>
        </w:rPr>
        <w:t xml:space="preserve"> projects that will</w:t>
      </w:r>
      <w:r w:rsidR="00146C43">
        <w:rPr>
          <w:rFonts w:ascii="Arial" w:hAnsi="Arial" w:cs="Arial"/>
        </w:rPr>
        <w:t xml:space="preserve"> help</w:t>
      </w:r>
      <w:r>
        <w:rPr>
          <w:rFonts w:ascii="Arial" w:hAnsi="Arial" w:cs="Arial"/>
        </w:rPr>
        <w:t xml:space="preserve"> drive growth and </w:t>
      </w:r>
      <w:r w:rsidR="003B4800">
        <w:rPr>
          <w:rFonts w:ascii="Arial" w:hAnsi="Arial" w:cs="Arial"/>
        </w:rPr>
        <w:t>productivity</w:t>
      </w:r>
      <w:r w:rsidR="006F48C1">
        <w:rPr>
          <w:rFonts w:ascii="Arial" w:hAnsi="Arial" w:cs="Arial"/>
        </w:rPr>
        <w:t>, diversify the business into new markets</w:t>
      </w:r>
      <w:r w:rsidR="003B4800">
        <w:rPr>
          <w:rFonts w:ascii="Arial" w:hAnsi="Arial" w:cs="Arial"/>
        </w:rPr>
        <w:t>,</w:t>
      </w:r>
      <w:r>
        <w:rPr>
          <w:rFonts w:ascii="Arial" w:hAnsi="Arial" w:cs="Arial"/>
        </w:rPr>
        <w:t xml:space="preserve"> increase sales</w:t>
      </w:r>
      <w:r w:rsidR="006F48C1">
        <w:rPr>
          <w:rFonts w:ascii="Arial" w:hAnsi="Arial" w:cs="Arial"/>
        </w:rPr>
        <w:t>,</w:t>
      </w:r>
      <w:r>
        <w:rPr>
          <w:rFonts w:ascii="Arial" w:hAnsi="Arial" w:cs="Arial"/>
        </w:rPr>
        <w:t xml:space="preserve"> </w:t>
      </w:r>
      <w:r w:rsidR="00A6775C">
        <w:rPr>
          <w:rFonts w:ascii="Arial" w:hAnsi="Arial" w:cs="Arial"/>
        </w:rPr>
        <w:t xml:space="preserve">improve skills in the local labour force </w:t>
      </w:r>
      <w:r>
        <w:rPr>
          <w:rFonts w:ascii="Arial" w:hAnsi="Arial" w:cs="Arial"/>
        </w:rPr>
        <w:t>and create</w:t>
      </w:r>
      <w:r w:rsidR="00D80F7D">
        <w:rPr>
          <w:rFonts w:ascii="Arial" w:hAnsi="Arial" w:cs="Arial"/>
        </w:rPr>
        <w:t xml:space="preserve"> or retain</w:t>
      </w:r>
      <w:r>
        <w:rPr>
          <w:rFonts w:ascii="Arial" w:hAnsi="Arial" w:cs="Arial"/>
        </w:rPr>
        <w:t xml:space="preserve"> jobs in the borough.</w:t>
      </w:r>
    </w:p>
    <w:p w14:paraId="23545221" w14:textId="77777777" w:rsidR="00B40085" w:rsidRDefault="00B40085" w:rsidP="00B40085">
      <w:pPr>
        <w:autoSpaceDE w:val="0"/>
        <w:autoSpaceDN w:val="0"/>
        <w:adjustRightInd w:val="0"/>
        <w:spacing w:after="0" w:line="240" w:lineRule="auto"/>
        <w:ind w:left="567"/>
        <w:rPr>
          <w:rFonts w:ascii="Arial" w:hAnsi="Arial" w:cs="Arial"/>
        </w:rPr>
      </w:pPr>
    </w:p>
    <w:p w14:paraId="10684434" w14:textId="4D9DFB32" w:rsidR="00B779CA" w:rsidRPr="00B779CA" w:rsidRDefault="00B779CA" w:rsidP="007E0156">
      <w:pPr>
        <w:autoSpaceDE w:val="0"/>
        <w:autoSpaceDN w:val="0"/>
        <w:adjustRightInd w:val="0"/>
        <w:spacing w:after="0" w:line="240" w:lineRule="auto"/>
        <w:ind w:left="567" w:hanging="567"/>
        <w:rPr>
          <w:rFonts w:ascii="Arial" w:hAnsi="Arial" w:cs="Arial"/>
          <w:b/>
        </w:rPr>
      </w:pPr>
      <w:r w:rsidRPr="00B779CA">
        <w:rPr>
          <w:rFonts w:ascii="Arial" w:hAnsi="Arial" w:cs="Arial"/>
          <w:b/>
        </w:rPr>
        <w:t xml:space="preserve">2. </w:t>
      </w:r>
      <w:r w:rsidR="00B40085">
        <w:rPr>
          <w:rFonts w:ascii="Arial" w:hAnsi="Arial" w:cs="Arial"/>
          <w:b/>
        </w:rPr>
        <w:tab/>
      </w:r>
      <w:r w:rsidRPr="00B779CA">
        <w:rPr>
          <w:rFonts w:ascii="Arial" w:hAnsi="Arial" w:cs="Arial"/>
          <w:b/>
        </w:rPr>
        <w:t>ELIGIBILITY</w:t>
      </w:r>
    </w:p>
    <w:p w14:paraId="10684436" w14:textId="55014B49" w:rsidR="00B779CA" w:rsidRDefault="00B779CA" w:rsidP="007E0156">
      <w:pPr>
        <w:autoSpaceDE w:val="0"/>
        <w:autoSpaceDN w:val="0"/>
        <w:adjustRightInd w:val="0"/>
        <w:spacing w:after="0" w:line="240" w:lineRule="auto"/>
        <w:ind w:firstLine="567"/>
        <w:rPr>
          <w:rFonts w:ascii="Arial" w:hAnsi="Arial" w:cs="Arial"/>
        </w:rPr>
      </w:pPr>
      <w:r>
        <w:rPr>
          <w:rFonts w:ascii="Arial" w:hAnsi="Arial" w:cs="Arial"/>
        </w:rPr>
        <w:t>Businesses that apply must:</w:t>
      </w:r>
    </w:p>
    <w:p w14:paraId="10684437" w14:textId="77777777" w:rsidR="00B779CA" w:rsidRDefault="00B779CA" w:rsidP="00B779CA">
      <w:pPr>
        <w:autoSpaceDE w:val="0"/>
        <w:autoSpaceDN w:val="0"/>
        <w:adjustRightInd w:val="0"/>
        <w:spacing w:after="0" w:line="240" w:lineRule="auto"/>
        <w:rPr>
          <w:rFonts w:ascii="Arial" w:hAnsi="Arial" w:cs="Arial"/>
        </w:rPr>
      </w:pPr>
    </w:p>
    <w:p w14:paraId="10684438" w14:textId="769F36AC" w:rsidR="00B779CA" w:rsidRDefault="006F48C1" w:rsidP="007E0156">
      <w:pPr>
        <w:pStyle w:val="ListParagraph"/>
        <w:numPr>
          <w:ilvl w:val="0"/>
          <w:numId w:val="2"/>
        </w:numPr>
        <w:autoSpaceDE w:val="0"/>
        <w:autoSpaceDN w:val="0"/>
        <w:adjustRightInd w:val="0"/>
        <w:spacing w:after="0" w:line="240" w:lineRule="auto"/>
        <w:ind w:left="993" w:hanging="426"/>
        <w:rPr>
          <w:rFonts w:ascii="Arial" w:hAnsi="Arial" w:cs="Arial"/>
        </w:rPr>
      </w:pPr>
      <w:r>
        <w:rPr>
          <w:rFonts w:ascii="Arial" w:hAnsi="Arial" w:cs="Arial"/>
        </w:rPr>
        <w:t>Have their main business premises l</w:t>
      </w:r>
      <w:r w:rsidR="00B779CA">
        <w:rPr>
          <w:rFonts w:ascii="Arial" w:hAnsi="Arial" w:cs="Arial"/>
        </w:rPr>
        <w:t>ocate in the Borough of Guildford</w:t>
      </w:r>
      <w:r w:rsidR="00461F0D">
        <w:rPr>
          <w:rFonts w:ascii="Arial" w:hAnsi="Arial" w:cs="Arial"/>
        </w:rPr>
        <w:t>.</w:t>
      </w:r>
    </w:p>
    <w:p w14:paraId="46BD4D98" w14:textId="77777777" w:rsidR="00B40085" w:rsidRDefault="00B40085" w:rsidP="007E0156">
      <w:pPr>
        <w:pStyle w:val="ListParagraph"/>
        <w:autoSpaceDE w:val="0"/>
        <w:autoSpaceDN w:val="0"/>
        <w:adjustRightInd w:val="0"/>
        <w:spacing w:after="0" w:line="240" w:lineRule="auto"/>
        <w:ind w:left="993" w:hanging="426"/>
        <w:rPr>
          <w:rFonts w:ascii="Arial" w:hAnsi="Arial" w:cs="Arial"/>
        </w:rPr>
      </w:pPr>
    </w:p>
    <w:p w14:paraId="10684439" w14:textId="1209C467" w:rsidR="00B779CA" w:rsidRPr="00B40085" w:rsidRDefault="00B779CA" w:rsidP="007E0156">
      <w:pPr>
        <w:pStyle w:val="ListParagraph"/>
        <w:numPr>
          <w:ilvl w:val="0"/>
          <w:numId w:val="2"/>
        </w:numPr>
        <w:autoSpaceDE w:val="0"/>
        <w:autoSpaceDN w:val="0"/>
        <w:adjustRightInd w:val="0"/>
        <w:spacing w:after="0" w:line="240" w:lineRule="auto"/>
        <w:ind w:left="993" w:hanging="426"/>
        <w:rPr>
          <w:rFonts w:ascii="Arial" w:hAnsi="Arial" w:cs="Arial"/>
          <w:i/>
          <w:iCs/>
        </w:rPr>
      </w:pPr>
      <w:r w:rsidRPr="00461F0D">
        <w:rPr>
          <w:rFonts w:ascii="Arial" w:hAnsi="Arial" w:cs="Arial"/>
        </w:rPr>
        <w:t xml:space="preserve">Be </w:t>
      </w:r>
      <w:r w:rsidR="002B5D11" w:rsidRPr="00461F0D">
        <w:rPr>
          <w:rFonts w:ascii="Arial" w:hAnsi="Arial" w:cs="Arial"/>
        </w:rPr>
        <w:t xml:space="preserve">a </w:t>
      </w:r>
      <w:r w:rsidR="00B40085">
        <w:rPr>
          <w:rFonts w:ascii="Arial" w:hAnsi="Arial" w:cs="Arial"/>
        </w:rPr>
        <w:t>s</w:t>
      </w:r>
      <w:r w:rsidR="002B5D11" w:rsidRPr="00461F0D">
        <w:rPr>
          <w:rFonts w:ascii="Arial" w:hAnsi="Arial" w:cs="Arial"/>
        </w:rPr>
        <w:t xml:space="preserve">mall or </w:t>
      </w:r>
      <w:r w:rsidR="00B40085">
        <w:rPr>
          <w:rFonts w:ascii="Arial" w:hAnsi="Arial" w:cs="Arial"/>
        </w:rPr>
        <w:t>me</w:t>
      </w:r>
      <w:r w:rsidR="002B5D11" w:rsidRPr="00461F0D">
        <w:rPr>
          <w:rFonts w:ascii="Arial" w:hAnsi="Arial" w:cs="Arial"/>
        </w:rPr>
        <w:t xml:space="preserve">dium </w:t>
      </w:r>
      <w:r w:rsidR="00B40085">
        <w:rPr>
          <w:rFonts w:ascii="Arial" w:hAnsi="Arial" w:cs="Arial"/>
        </w:rPr>
        <w:t>s</w:t>
      </w:r>
      <w:r w:rsidR="002B5D11" w:rsidRPr="00461F0D">
        <w:rPr>
          <w:rFonts w:ascii="Arial" w:hAnsi="Arial" w:cs="Arial"/>
        </w:rPr>
        <w:t xml:space="preserve">ized </w:t>
      </w:r>
      <w:r w:rsidR="00B40085">
        <w:rPr>
          <w:rFonts w:ascii="Arial" w:hAnsi="Arial" w:cs="Arial"/>
        </w:rPr>
        <w:t>e</w:t>
      </w:r>
      <w:r w:rsidR="002B5D11" w:rsidRPr="00461F0D">
        <w:rPr>
          <w:rFonts w:ascii="Arial" w:hAnsi="Arial" w:cs="Arial"/>
        </w:rPr>
        <w:t>nterprise</w:t>
      </w:r>
      <w:r w:rsidR="009E36D2" w:rsidRPr="00461F0D">
        <w:rPr>
          <w:rFonts w:ascii="Arial" w:hAnsi="Arial" w:cs="Arial"/>
        </w:rPr>
        <w:t xml:space="preserve">. </w:t>
      </w:r>
      <w:r w:rsidR="003575D9" w:rsidRPr="00461F0D">
        <w:rPr>
          <w:rFonts w:ascii="Arial" w:hAnsi="Arial" w:cs="Arial"/>
        </w:rPr>
        <w:t>The definition of a SME for this purpose is a business with less than 250 employees</w:t>
      </w:r>
      <w:r w:rsidR="00461F0D" w:rsidRPr="00461F0D">
        <w:rPr>
          <w:rFonts w:ascii="Arial" w:hAnsi="Arial" w:cs="Arial"/>
        </w:rPr>
        <w:t>.</w:t>
      </w:r>
    </w:p>
    <w:p w14:paraId="1BC05AA5" w14:textId="77777777" w:rsidR="00B40085" w:rsidRPr="00B40085" w:rsidRDefault="00B40085" w:rsidP="007E0156">
      <w:pPr>
        <w:pStyle w:val="ListParagraph"/>
        <w:autoSpaceDE w:val="0"/>
        <w:autoSpaceDN w:val="0"/>
        <w:adjustRightInd w:val="0"/>
        <w:spacing w:after="0" w:line="240" w:lineRule="auto"/>
        <w:ind w:left="993" w:hanging="426"/>
        <w:rPr>
          <w:rFonts w:ascii="Arial" w:hAnsi="Arial" w:cs="Arial"/>
          <w:i/>
          <w:iCs/>
        </w:rPr>
      </w:pPr>
    </w:p>
    <w:p w14:paraId="2B6E4D6D" w14:textId="448D9011" w:rsidR="006F48C1" w:rsidRPr="00B40085" w:rsidRDefault="006F48C1" w:rsidP="007E0156">
      <w:pPr>
        <w:pStyle w:val="ListParagraph"/>
        <w:numPr>
          <w:ilvl w:val="0"/>
          <w:numId w:val="2"/>
        </w:numPr>
        <w:autoSpaceDE w:val="0"/>
        <w:autoSpaceDN w:val="0"/>
        <w:adjustRightInd w:val="0"/>
        <w:spacing w:after="0" w:line="240" w:lineRule="auto"/>
        <w:ind w:left="993" w:hanging="426"/>
        <w:rPr>
          <w:rFonts w:ascii="Arial" w:hAnsi="Arial" w:cs="Arial"/>
          <w:i/>
          <w:iCs/>
        </w:rPr>
      </w:pPr>
      <w:r w:rsidRPr="00461F0D">
        <w:rPr>
          <w:rFonts w:ascii="Arial" w:hAnsi="Arial" w:cs="Arial"/>
        </w:rPr>
        <w:t xml:space="preserve">Be able to demonstrate that they have been severely impacted by the COVID restrictions </w:t>
      </w:r>
      <w:r w:rsidR="00B40085">
        <w:rPr>
          <w:rFonts w:ascii="Arial" w:hAnsi="Arial" w:cs="Arial"/>
        </w:rPr>
        <w:t xml:space="preserve">in terms of </w:t>
      </w:r>
      <w:r w:rsidRPr="00461F0D">
        <w:rPr>
          <w:rFonts w:ascii="Arial" w:hAnsi="Arial" w:cs="Arial"/>
        </w:rPr>
        <w:t>operating activities</w:t>
      </w:r>
      <w:r w:rsidR="00B40085">
        <w:rPr>
          <w:rFonts w:ascii="Arial" w:hAnsi="Arial" w:cs="Arial"/>
        </w:rPr>
        <w:t>,</w:t>
      </w:r>
      <w:r w:rsidRPr="00461F0D">
        <w:rPr>
          <w:rFonts w:ascii="Arial" w:hAnsi="Arial" w:cs="Arial"/>
        </w:rPr>
        <w:t xml:space="preserve"> </w:t>
      </w:r>
      <w:r w:rsidR="00E4660F" w:rsidRPr="00461F0D">
        <w:rPr>
          <w:rFonts w:ascii="Arial" w:hAnsi="Arial" w:cs="Arial"/>
        </w:rPr>
        <w:t xml:space="preserve">such as </w:t>
      </w:r>
      <w:r w:rsidRPr="00461F0D">
        <w:rPr>
          <w:rFonts w:ascii="Arial" w:hAnsi="Arial" w:cs="Arial"/>
        </w:rPr>
        <w:t>having previously been eligible for a COVID grant (</w:t>
      </w:r>
      <w:proofErr w:type="gramStart"/>
      <w:r w:rsidRPr="00461F0D">
        <w:rPr>
          <w:rFonts w:ascii="Arial" w:hAnsi="Arial" w:cs="Arial"/>
        </w:rPr>
        <w:t>e</w:t>
      </w:r>
      <w:r w:rsidR="00B40085">
        <w:rPr>
          <w:rFonts w:ascii="Arial" w:hAnsi="Arial" w:cs="Arial"/>
        </w:rPr>
        <w:t>.</w:t>
      </w:r>
      <w:r w:rsidRPr="00461F0D">
        <w:rPr>
          <w:rFonts w:ascii="Arial" w:hAnsi="Arial" w:cs="Arial"/>
        </w:rPr>
        <w:t>g</w:t>
      </w:r>
      <w:r w:rsidR="00B40085">
        <w:rPr>
          <w:rFonts w:ascii="Arial" w:hAnsi="Arial" w:cs="Arial"/>
        </w:rPr>
        <w:t>.</w:t>
      </w:r>
      <w:proofErr w:type="gramEnd"/>
      <w:r w:rsidRPr="00461F0D">
        <w:rPr>
          <w:rFonts w:ascii="Arial" w:hAnsi="Arial" w:cs="Arial"/>
        </w:rPr>
        <w:t xml:space="preserve"> </w:t>
      </w:r>
      <w:r w:rsidR="00B40085">
        <w:rPr>
          <w:rFonts w:ascii="Arial" w:hAnsi="Arial" w:cs="Arial"/>
        </w:rPr>
        <w:t>r</w:t>
      </w:r>
      <w:r w:rsidRPr="00461F0D">
        <w:rPr>
          <w:rFonts w:ascii="Arial" w:hAnsi="Arial" w:cs="Arial"/>
        </w:rPr>
        <w:t>etail</w:t>
      </w:r>
      <w:r w:rsidR="00E4660F" w:rsidRPr="00461F0D">
        <w:rPr>
          <w:rFonts w:ascii="Arial" w:hAnsi="Arial" w:cs="Arial"/>
        </w:rPr>
        <w:t>,</w:t>
      </w:r>
      <w:r w:rsidRPr="00461F0D">
        <w:rPr>
          <w:rFonts w:ascii="Arial" w:hAnsi="Arial" w:cs="Arial"/>
        </w:rPr>
        <w:t xml:space="preserve"> </w:t>
      </w:r>
      <w:r w:rsidR="00B40085">
        <w:rPr>
          <w:rFonts w:ascii="Arial" w:hAnsi="Arial" w:cs="Arial"/>
        </w:rPr>
        <w:t>l</w:t>
      </w:r>
      <w:r w:rsidRPr="00461F0D">
        <w:rPr>
          <w:rFonts w:ascii="Arial" w:hAnsi="Arial" w:cs="Arial"/>
        </w:rPr>
        <w:t xml:space="preserve">eisure and </w:t>
      </w:r>
      <w:r w:rsidR="00B40085">
        <w:rPr>
          <w:rFonts w:ascii="Arial" w:hAnsi="Arial" w:cs="Arial"/>
        </w:rPr>
        <w:t>h</w:t>
      </w:r>
      <w:r w:rsidRPr="00461F0D">
        <w:rPr>
          <w:rFonts w:ascii="Arial" w:hAnsi="Arial" w:cs="Arial"/>
        </w:rPr>
        <w:t xml:space="preserve">ospitality grant, </w:t>
      </w:r>
      <w:r w:rsidR="00B40085">
        <w:rPr>
          <w:rFonts w:ascii="Arial" w:hAnsi="Arial" w:cs="Arial"/>
        </w:rPr>
        <w:t>l</w:t>
      </w:r>
      <w:r w:rsidRPr="00461F0D">
        <w:rPr>
          <w:rFonts w:ascii="Arial" w:hAnsi="Arial" w:cs="Arial"/>
        </w:rPr>
        <w:t xml:space="preserve">ocal </w:t>
      </w:r>
      <w:r w:rsidR="00B40085">
        <w:rPr>
          <w:rFonts w:ascii="Arial" w:hAnsi="Arial" w:cs="Arial"/>
        </w:rPr>
        <w:t>r</w:t>
      </w:r>
      <w:r w:rsidRPr="00461F0D">
        <w:rPr>
          <w:rFonts w:ascii="Arial" w:hAnsi="Arial" w:cs="Arial"/>
        </w:rPr>
        <w:t xml:space="preserve">estrictions support grant, restart grant or supported through our </w:t>
      </w:r>
      <w:r w:rsidR="00E4660F" w:rsidRPr="00461F0D">
        <w:rPr>
          <w:rFonts w:ascii="Arial" w:hAnsi="Arial" w:cs="Arial"/>
        </w:rPr>
        <w:t xml:space="preserve">discretionary grant scheme or </w:t>
      </w:r>
      <w:r w:rsidR="00B40085">
        <w:rPr>
          <w:rFonts w:ascii="Arial" w:hAnsi="Arial" w:cs="Arial"/>
        </w:rPr>
        <w:t>a</w:t>
      </w:r>
      <w:r w:rsidRPr="00461F0D">
        <w:rPr>
          <w:rFonts w:ascii="Arial" w:hAnsi="Arial" w:cs="Arial"/>
        </w:rPr>
        <w:t xml:space="preserve">dditional </w:t>
      </w:r>
      <w:r w:rsidR="00B40085">
        <w:rPr>
          <w:rFonts w:ascii="Arial" w:hAnsi="Arial" w:cs="Arial"/>
        </w:rPr>
        <w:t>r</w:t>
      </w:r>
      <w:r w:rsidRPr="00461F0D">
        <w:rPr>
          <w:rFonts w:ascii="Arial" w:hAnsi="Arial" w:cs="Arial"/>
        </w:rPr>
        <w:t xml:space="preserve">estrictions </w:t>
      </w:r>
      <w:r w:rsidR="00B40085">
        <w:rPr>
          <w:rFonts w:ascii="Arial" w:hAnsi="Arial" w:cs="Arial"/>
        </w:rPr>
        <w:t>s</w:t>
      </w:r>
      <w:r w:rsidRPr="00461F0D">
        <w:rPr>
          <w:rFonts w:ascii="Arial" w:hAnsi="Arial" w:cs="Arial"/>
        </w:rPr>
        <w:t>upport grant</w:t>
      </w:r>
      <w:r w:rsidR="00E4660F" w:rsidRPr="00461F0D">
        <w:rPr>
          <w:rFonts w:ascii="Arial" w:hAnsi="Arial" w:cs="Arial"/>
        </w:rPr>
        <w:t>) or, are able to demonstrate they have experienced a significant reduction in turnover</w:t>
      </w:r>
      <w:r w:rsidR="00B40085">
        <w:rPr>
          <w:rFonts w:ascii="Arial" w:hAnsi="Arial" w:cs="Arial"/>
        </w:rPr>
        <w:t>,</w:t>
      </w:r>
      <w:r w:rsidR="00DB2384" w:rsidRPr="00461F0D">
        <w:rPr>
          <w:rFonts w:ascii="Arial" w:hAnsi="Arial" w:cs="Arial"/>
        </w:rPr>
        <w:t xml:space="preserve"> but did not apply for the grants above</w:t>
      </w:r>
      <w:r w:rsidR="00B40085">
        <w:rPr>
          <w:rFonts w:ascii="Arial" w:hAnsi="Arial" w:cs="Arial"/>
        </w:rPr>
        <w:t>.</w:t>
      </w:r>
    </w:p>
    <w:p w14:paraId="6A45485E" w14:textId="77777777" w:rsidR="00B40085" w:rsidRPr="00B40085" w:rsidRDefault="00B40085" w:rsidP="007E0156">
      <w:pPr>
        <w:pStyle w:val="ListParagraph"/>
        <w:autoSpaceDE w:val="0"/>
        <w:autoSpaceDN w:val="0"/>
        <w:adjustRightInd w:val="0"/>
        <w:spacing w:after="0" w:line="240" w:lineRule="auto"/>
        <w:ind w:left="993" w:hanging="426"/>
        <w:rPr>
          <w:rFonts w:ascii="Arial" w:hAnsi="Arial" w:cs="Arial"/>
          <w:i/>
          <w:iCs/>
        </w:rPr>
      </w:pPr>
    </w:p>
    <w:p w14:paraId="30C66FC4" w14:textId="77777777" w:rsidR="00B40085" w:rsidRDefault="00B40085" w:rsidP="007E0156">
      <w:pPr>
        <w:pStyle w:val="ListParagraph"/>
        <w:numPr>
          <w:ilvl w:val="0"/>
          <w:numId w:val="2"/>
        </w:numPr>
        <w:autoSpaceDE w:val="0"/>
        <w:autoSpaceDN w:val="0"/>
        <w:adjustRightInd w:val="0"/>
        <w:spacing w:after="0" w:line="240" w:lineRule="auto"/>
        <w:ind w:left="993" w:hanging="426"/>
        <w:rPr>
          <w:rFonts w:ascii="Arial" w:hAnsi="Arial" w:cs="Arial"/>
        </w:rPr>
      </w:pPr>
      <w:r>
        <w:rPr>
          <w:rFonts w:ascii="Arial" w:hAnsi="Arial" w:cs="Arial"/>
        </w:rPr>
        <w:t>D</w:t>
      </w:r>
      <w:r w:rsidR="00B779CA">
        <w:rPr>
          <w:rFonts w:ascii="Arial" w:hAnsi="Arial" w:cs="Arial"/>
        </w:rPr>
        <w:t xml:space="preserve">isplay a strong business plan and </w:t>
      </w:r>
      <w:r w:rsidR="00625F8C">
        <w:rPr>
          <w:rFonts w:ascii="Arial" w:hAnsi="Arial" w:cs="Arial"/>
        </w:rPr>
        <w:t>require grant funding for a specific project that will help</w:t>
      </w:r>
      <w:r>
        <w:rPr>
          <w:rFonts w:ascii="Arial" w:hAnsi="Arial" w:cs="Arial"/>
        </w:rPr>
        <w:t>:</w:t>
      </w:r>
    </w:p>
    <w:p w14:paraId="7950BCA3" w14:textId="22F1C95B" w:rsidR="006E10FB" w:rsidRDefault="00625F8C" w:rsidP="00B40085">
      <w:pPr>
        <w:pStyle w:val="ListParagraph"/>
        <w:autoSpaceDE w:val="0"/>
        <w:autoSpaceDN w:val="0"/>
        <w:adjustRightInd w:val="0"/>
        <w:spacing w:after="0" w:line="240" w:lineRule="auto"/>
        <w:rPr>
          <w:rFonts w:ascii="Arial" w:hAnsi="Arial" w:cs="Arial"/>
        </w:rPr>
      </w:pPr>
      <w:r>
        <w:rPr>
          <w:rFonts w:ascii="Arial" w:hAnsi="Arial" w:cs="Arial"/>
        </w:rPr>
        <w:t xml:space="preserve"> </w:t>
      </w:r>
    </w:p>
    <w:p w14:paraId="41C48B75" w14:textId="77777777" w:rsidR="006E10FB" w:rsidRDefault="006E10FB" w:rsidP="006E10FB">
      <w:pPr>
        <w:pStyle w:val="ListParagraph"/>
        <w:numPr>
          <w:ilvl w:val="1"/>
          <w:numId w:val="2"/>
        </w:numPr>
        <w:autoSpaceDE w:val="0"/>
        <w:autoSpaceDN w:val="0"/>
        <w:adjustRightInd w:val="0"/>
        <w:spacing w:after="0" w:line="240" w:lineRule="auto"/>
        <w:rPr>
          <w:rFonts w:ascii="Arial" w:hAnsi="Arial" w:cs="Arial"/>
        </w:rPr>
      </w:pPr>
      <w:r w:rsidRPr="006E10FB">
        <w:rPr>
          <w:rFonts w:ascii="Arial" w:hAnsi="Arial" w:cs="Arial"/>
        </w:rPr>
        <w:t xml:space="preserve">drive growth and productivity, </w:t>
      </w:r>
    </w:p>
    <w:p w14:paraId="6CF2C3DE" w14:textId="77777777" w:rsidR="006E10FB" w:rsidRDefault="006E10FB" w:rsidP="006E10FB">
      <w:pPr>
        <w:pStyle w:val="ListParagraph"/>
        <w:numPr>
          <w:ilvl w:val="1"/>
          <w:numId w:val="2"/>
        </w:numPr>
        <w:autoSpaceDE w:val="0"/>
        <w:autoSpaceDN w:val="0"/>
        <w:adjustRightInd w:val="0"/>
        <w:spacing w:after="0" w:line="240" w:lineRule="auto"/>
        <w:rPr>
          <w:rFonts w:ascii="Arial" w:hAnsi="Arial" w:cs="Arial"/>
        </w:rPr>
      </w:pPr>
      <w:r w:rsidRPr="006E10FB">
        <w:rPr>
          <w:rFonts w:ascii="Arial" w:hAnsi="Arial" w:cs="Arial"/>
        </w:rPr>
        <w:t xml:space="preserve">diversify the business into new markets, </w:t>
      </w:r>
    </w:p>
    <w:p w14:paraId="19393C4B" w14:textId="77777777" w:rsidR="006E10FB" w:rsidRDefault="006E10FB" w:rsidP="006E10FB">
      <w:pPr>
        <w:pStyle w:val="ListParagraph"/>
        <w:numPr>
          <w:ilvl w:val="1"/>
          <w:numId w:val="2"/>
        </w:numPr>
        <w:autoSpaceDE w:val="0"/>
        <w:autoSpaceDN w:val="0"/>
        <w:adjustRightInd w:val="0"/>
        <w:spacing w:after="0" w:line="240" w:lineRule="auto"/>
        <w:rPr>
          <w:rFonts w:ascii="Arial" w:hAnsi="Arial" w:cs="Arial"/>
        </w:rPr>
      </w:pPr>
      <w:r w:rsidRPr="006E10FB">
        <w:rPr>
          <w:rFonts w:ascii="Arial" w:hAnsi="Arial" w:cs="Arial"/>
        </w:rPr>
        <w:t xml:space="preserve">increased sales, </w:t>
      </w:r>
    </w:p>
    <w:p w14:paraId="57574D1B" w14:textId="09336BAC" w:rsidR="006E10FB" w:rsidRDefault="006E10FB" w:rsidP="006E10FB">
      <w:pPr>
        <w:pStyle w:val="ListParagraph"/>
        <w:numPr>
          <w:ilvl w:val="1"/>
          <w:numId w:val="2"/>
        </w:numPr>
        <w:autoSpaceDE w:val="0"/>
        <w:autoSpaceDN w:val="0"/>
        <w:adjustRightInd w:val="0"/>
        <w:spacing w:after="0" w:line="240" w:lineRule="auto"/>
        <w:rPr>
          <w:rFonts w:ascii="Arial" w:hAnsi="Arial" w:cs="Arial"/>
        </w:rPr>
      </w:pPr>
      <w:r w:rsidRPr="006E10FB">
        <w:rPr>
          <w:rFonts w:ascii="Arial" w:hAnsi="Arial" w:cs="Arial"/>
        </w:rPr>
        <w:t xml:space="preserve">improve skills in the local labour force </w:t>
      </w:r>
      <w:r>
        <w:rPr>
          <w:rFonts w:ascii="Arial" w:hAnsi="Arial" w:cs="Arial"/>
        </w:rPr>
        <w:t xml:space="preserve">or </w:t>
      </w:r>
    </w:p>
    <w:p w14:paraId="14B660AE" w14:textId="0BC720FD" w:rsidR="007E0156" w:rsidRDefault="007E0156" w:rsidP="006E10FB">
      <w:pPr>
        <w:pStyle w:val="ListParagraph"/>
        <w:numPr>
          <w:ilvl w:val="1"/>
          <w:numId w:val="2"/>
        </w:numPr>
        <w:autoSpaceDE w:val="0"/>
        <w:autoSpaceDN w:val="0"/>
        <w:adjustRightInd w:val="0"/>
        <w:spacing w:after="0" w:line="240" w:lineRule="auto"/>
        <w:rPr>
          <w:rFonts w:ascii="Arial" w:hAnsi="Arial" w:cs="Arial"/>
        </w:rPr>
      </w:pPr>
      <w:r>
        <w:rPr>
          <w:rFonts w:ascii="Arial" w:hAnsi="Arial" w:cs="Arial"/>
        </w:rPr>
        <w:t>create or retain jobs in the borough</w:t>
      </w:r>
    </w:p>
    <w:p w14:paraId="14F80021" w14:textId="77777777" w:rsidR="000D5E3B" w:rsidRDefault="000D5E3B" w:rsidP="007E0156">
      <w:pPr>
        <w:autoSpaceDE w:val="0"/>
        <w:autoSpaceDN w:val="0"/>
        <w:adjustRightInd w:val="0"/>
        <w:spacing w:after="0" w:line="240" w:lineRule="auto"/>
        <w:ind w:left="567"/>
        <w:rPr>
          <w:rFonts w:ascii="Arial" w:hAnsi="Arial" w:cs="Arial"/>
        </w:rPr>
      </w:pPr>
    </w:p>
    <w:p w14:paraId="7FB8BDA1" w14:textId="3F8A58D7" w:rsidR="00F327E5" w:rsidRPr="007E0156" w:rsidRDefault="000D5E3B" w:rsidP="007E0156">
      <w:pPr>
        <w:pStyle w:val="Default"/>
        <w:ind w:left="567"/>
        <w:rPr>
          <w:sz w:val="22"/>
          <w:szCs w:val="22"/>
        </w:rPr>
      </w:pPr>
      <w:r w:rsidRPr="007E0156">
        <w:rPr>
          <w:sz w:val="22"/>
          <w:szCs w:val="22"/>
        </w:rPr>
        <w:t>Whilst the scheme is open to all business sectors</w:t>
      </w:r>
      <w:r w:rsidR="00D84C72" w:rsidRPr="007E0156">
        <w:rPr>
          <w:sz w:val="22"/>
          <w:szCs w:val="22"/>
        </w:rPr>
        <w:t xml:space="preserve"> to apply</w:t>
      </w:r>
      <w:r w:rsidR="001971E6" w:rsidRPr="007E0156">
        <w:rPr>
          <w:sz w:val="22"/>
          <w:szCs w:val="22"/>
        </w:rPr>
        <w:t>, support will be prioritised for the retail, leisure, hospitality</w:t>
      </w:r>
      <w:r w:rsidR="008D3040" w:rsidRPr="007E0156">
        <w:rPr>
          <w:sz w:val="22"/>
          <w:szCs w:val="22"/>
        </w:rPr>
        <w:t xml:space="preserve">, </w:t>
      </w:r>
      <w:proofErr w:type="gramStart"/>
      <w:r w:rsidR="008D3040" w:rsidRPr="007E0156">
        <w:rPr>
          <w:sz w:val="22"/>
          <w:szCs w:val="22"/>
        </w:rPr>
        <w:t>travel</w:t>
      </w:r>
      <w:proofErr w:type="gramEnd"/>
      <w:r w:rsidR="008D3040" w:rsidRPr="007E0156">
        <w:rPr>
          <w:sz w:val="22"/>
          <w:szCs w:val="22"/>
        </w:rPr>
        <w:t xml:space="preserve"> and tourism</w:t>
      </w:r>
      <w:r w:rsidR="000C16B0" w:rsidRPr="007E0156">
        <w:rPr>
          <w:sz w:val="22"/>
          <w:szCs w:val="22"/>
        </w:rPr>
        <w:t xml:space="preserve"> (including </w:t>
      </w:r>
      <w:r w:rsidR="008869DB" w:rsidRPr="007E0156">
        <w:rPr>
          <w:sz w:val="22"/>
          <w:szCs w:val="22"/>
        </w:rPr>
        <w:t>taxi</w:t>
      </w:r>
      <w:r w:rsidR="004F09A2" w:rsidRPr="007E0156">
        <w:rPr>
          <w:sz w:val="22"/>
          <w:szCs w:val="22"/>
        </w:rPr>
        <w:t xml:space="preserve">/private hire, </w:t>
      </w:r>
      <w:r w:rsidR="000C16B0" w:rsidRPr="007E0156">
        <w:rPr>
          <w:sz w:val="22"/>
          <w:szCs w:val="22"/>
        </w:rPr>
        <w:t>group travel, travel agents and tour operators</w:t>
      </w:r>
      <w:r w:rsidR="008869DB" w:rsidRPr="007E0156">
        <w:rPr>
          <w:sz w:val="22"/>
          <w:szCs w:val="22"/>
        </w:rPr>
        <w:t>)</w:t>
      </w:r>
      <w:r w:rsidR="000C16B0" w:rsidRPr="007E0156">
        <w:rPr>
          <w:sz w:val="22"/>
          <w:szCs w:val="22"/>
        </w:rPr>
        <w:t>, wedding industries, nightclubs, theatres, events industries, wholesalers, English language schools, breweries, freelance and mobile businesses (including caterers, events, hair, beauty and wedding related businesses)</w:t>
      </w:r>
      <w:r w:rsidR="00B01FF7" w:rsidRPr="007E0156">
        <w:rPr>
          <w:sz w:val="22"/>
          <w:szCs w:val="22"/>
        </w:rPr>
        <w:t xml:space="preserve">.  </w:t>
      </w:r>
    </w:p>
    <w:p w14:paraId="397F1662" w14:textId="5B8A851E" w:rsidR="00DE27CB" w:rsidRDefault="00DE27CB" w:rsidP="007E0156">
      <w:pPr>
        <w:pStyle w:val="Default"/>
        <w:ind w:left="567"/>
        <w:rPr>
          <w:sz w:val="23"/>
          <w:szCs w:val="23"/>
        </w:rPr>
      </w:pPr>
    </w:p>
    <w:p w14:paraId="6C21AFBB" w14:textId="7555436E" w:rsidR="00DE27CB" w:rsidRPr="007E0156" w:rsidRDefault="007E0156" w:rsidP="007E0156">
      <w:pPr>
        <w:pStyle w:val="Default"/>
        <w:ind w:left="567"/>
        <w:rPr>
          <w:sz w:val="22"/>
          <w:szCs w:val="22"/>
        </w:rPr>
      </w:pPr>
      <w:r>
        <w:rPr>
          <w:sz w:val="22"/>
          <w:szCs w:val="22"/>
        </w:rPr>
        <w:t xml:space="preserve">We are </w:t>
      </w:r>
      <w:r w:rsidR="002C2E76" w:rsidRPr="007E0156">
        <w:rPr>
          <w:sz w:val="22"/>
          <w:szCs w:val="22"/>
        </w:rPr>
        <w:t xml:space="preserve">particularly interested </w:t>
      </w:r>
      <w:r>
        <w:rPr>
          <w:sz w:val="22"/>
          <w:szCs w:val="22"/>
        </w:rPr>
        <w:t xml:space="preserve">in </w:t>
      </w:r>
      <w:r w:rsidR="002C2E76" w:rsidRPr="007E0156">
        <w:rPr>
          <w:sz w:val="22"/>
          <w:szCs w:val="22"/>
        </w:rPr>
        <w:t>support</w:t>
      </w:r>
      <w:r>
        <w:rPr>
          <w:sz w:val="22"/>
          <w:szCs w:val="22"/>
        </w:rPr>
        <w:t>ing</w:t>
      </w:r>
      <w:r w:rsidR="002C2E76" w:rsidRPr="007E0156">
        <w:rPr>
          <w:sz w:val="22"/>
          <w:szCs w:val="22"/>
        </w:rPr>
        <w:t xml:space="preserve"> businesses that will drive economic growth by taking on a lease or utilising empty shops and other business premises in the town centre and other urban areas</w:t>
      </w:r>
      <w:r w:rsidR="008904A5" w:rsidRPr="007E0156">
        <w:rPr>
          <w:sz w:val="22"/>
          <w:szCs w:val="22"/>
        </w:rPr>
        <w:t xml:space="preserve"> in the borough</w:t>
      </w:r>
    </w:p>
    <w:p w14:paraId="266FBA47" w14:textId="77777777" w:rsidR="00F327E5" w:rsidRPr="007E0156" w:rsidRDefault="00F327E5" w:rsidP="007E0156">
      <w:pPr>
        <w:pStyle w:val="Default"/>
        <w:ind w:left="567"/>
        <w:rPr>
          <w:sz w:val="22"/>
          <w:szCs w:val="22"/>
        </w:rPr>
      </w:pPr>
    </w:p>
    <w:p w14:paraId="0A2CE9DB" w14:textId="6D4FB8C1" w:rsidR="000C16B0" w:rsidRPr="007E0156" w:rsidRDefault="00B01FF7" w:rsidP="007E0156">
      <w:pPr>
        <w:pStyle w:val="Default"/>
        <w:ind w:left="567"/>
        <w:rPr>
          <w:sz w:val="22"/>
          <w:szCs w:val="22"/>
        </w:rPr>
      </w:pPr>
      <w:r w:rsidRPr="007E0156">
        <w:rPr>
          <w:sz w:val="22"/>
          <w:szCs w:val="22"/>
        </w:rPr>
        <w:t xml:space="preserve">Businesses will </w:t>
      </w:r>
      <w:r w:rsidR="00872C6B" w:rsidRPr="007E0156">
        <w:rPr>
          <w:sz w:val="22"/>
          <w:szCs w:val="22"/>
        </w:rPr>
        <w:t>be eligible</w:t>
      </w:r>
      <w:r w:rsidR="00AE2DDA" w:rsidRPr="007E0156">
        <w:rPr>
          <w:sz w:val="22"/>
          <w:szCs w:val="22"/>
        </w:rPr>
        <w:t xml:space="preserve"> whether they are in or outside of the business rates system.</w:t>
      </w:r>
    </w:p>
    <w:p w14:paraId="1068443C" w14:textId="6308C334" w:rsidR="008333F6" w:rsidRDefault="008333F6" w:rsidP="008333F6">
      <w:pPr>
        <w:autoSpaceDE w:val="0"/>
        <w:autoSpaceDN w:val="0"/>
        <w:adjustRightInd w:val="0"/>
        <w:spacing w:after="0" w:line="240" w:lineRule="auto"/>
        <w:rPr>
          <w:rFonts w:ascii="Arial" w:hAnsi="Arial" w:cs="Arial"/>
        </w:rPr>
      </w:pPr>
    </w:p>
    <w:p w14:paraId="1068443D" w14:textId="6A1208A8" w:rsidR="008333F6" w:rsidRDefault="00924B74" w:rsidP="007E0156">
      <w:pPr>
        <w:autoSpaceDE w:val="0"/>
        <w:autoSpaceDN w:val="0"/>
        <w:adjustRightInd w:val="0"/>
        <w:spacing w:after="0" w:line="240" w:lineRule="auto"/>
        <w:ind w:left="567" w:hanging="567"/>
        <w:rPr>
          <w:rFonts w:ascii="Arial" w:hAnsi="Arial" w:cs="Arial"/>
          <w:b/>
          <w:bCs/>
        </w:rPr>
      </w:pPr>
      <w:r>
        <w:rPr>
          <w:rFonts w:ascii="Arial" w:hAnsi="Arial" w:cs="Arial"/>
          <w:b/>
          <w:bCs/>
        </w:rPr>
        <w:lastRenderedPageBreak/>
        <w:t xml:space="preserve">3. </w:t>
      </w:r>
      <w:r w:rsidR="008333F6">
        <w:rPr>
          <w:rFonts w:ascii="Arial" w:hAnsi="Arial" w:cs="Arial"/>
          <w:b/>
          <w:bCs/>
        </w:rPr>
        <w:t xml:space="preserve"> </w:t>
      </w:r>
      <w:r w:rsidR="007E0156">
        <w:rPr>
          <w:rFonts w:ascii="Arial" w:hAnsi="Arial" w:cs="Arial"/>
          <w:b/>
          <w:bCs/>
        </w:rPr>
        <w:tab/>
      </w:r>
      <w:r w:rsidR="008333F6">
        <w:rPr>
          <w:rFonts w:ascii="Arial" w:hAnsi="Arial" w:cs="Arial"/>
          <w:b/>
          <w:bCs/>
        </w:rPr>
        <w:t>KEY FEATURES OF THE SCHEME</w:t>
      </w:r>
    </w:p>
    <w:p w14:paraId="1068443E" w14:textId="77777777" w:rsidR="00924B74" w:rsidRDefault="00924B74" w:rsidP="008333F6">
      <w:pPr>
        <w:autoSpaceDE w:val="0"/>
        <w:autoSpaceDN w:val="0"/>
        <w:adjustRightInd w:val="0"/>
        <w:spacing w:after="0" w:line="240" w:lineRule="auto"/>
        <w:rPr>
          <w:rFonts w:ascii="Arial" w:hAnsi="Arial" w:cs="Arial"/>
        </w:rPr>
      </w:pPr>
    </w:p>
    <w:p w14:paraId="1068443F" w14:textId="53CC75F0" w:rsidR="008333F6" w:rsidRDefault="00924B74" w:rsidP="007E0156">
      <w:pPr>
        <w:pStyle w:val="ListParagraph"/>
        <w:numPr>
          <w:ilvl w:val="0"/>
          <w:numId w:val="3"/>
        </w:numPr>
        <w:autoSpaceDE w:val="0"/>
        <w:autoSpaceDN w:val="0"/>
        <w:adjustRightInd w:val="0"/>
        <w:spacing w:after="0" w:line="240" w:lineRule="auto"/>
        <w:ind w:left="993" w:hanging="426"/>
        <w:rPr>
          <w:rFonts w:ascii="Arial" w:hAnsi="Arial" w:cs="Arial"/>
        </w:rPr>
      </w:pPr>
      <w:r w:rsidRPr="00924B74">
        <w:rPr>
          <w:rFonts w:ascii="Arial" w:hAnsi="Arial" w:cs="Arial"/>
        </w:rPr>
        <w:t>Th</w:t>
      </w:r>
      <w:r w:rsidR="008333F6" w:rsidRPr="00924B74">
        <w:rPr>
          <w:rFonts w:ascii="Arial" w:hAnsi="Arial" w:cs="Arial"/>
        </w:rPr>
        <w:t>e grant available under this scheme is</w:t>
      </w:r>
      <w:r w:rsidRPr="00924B74">
        <w:rPr>
          <w:rFonts w:ascii="Arial" w:hAnsi="Arial" w:cs="Arial"/>
        </w:rPr>
        <w:t xml:space="preserve"> </w:t>
      </w:r>
      <w:r w:rsidR="00461F0D">
        <w:rPr>
          <w:rFonts w:ascii="Arial" w:hAnsi="Arial" w:cs="Arial"/>
        </w:rPr>
        <w:t xml:space="preserve">up to </w:t>
      </w:r>
      <w:r w:rsidRPr="00924B74">
        <w:rPr>
          <w:rFonts w:ascii="Arial" w:hAnsi="Arial" w:cs="Arial"/>
        </w:rPr>
        <w:t>£</w:t>
      </w:r>
      <w:r w:rsidR="002A4021">
        <w:rPr>
          <w:rFonts w:ascii="Arial" w:hAnsi="Arial" w:cs="Arial"/>
        </w:rPr>
        <w:t>1</w:t>
      </w:r>
      <w:r w:rsidR="002A00D5">
        <w:rPr>
          <w:rFonts w:ascii="Arial" w:hAnsi="Arial" w:cs="Arial"/>
        </w:rPr>
        <w:t>0</w:t>
      </w:r>
      <w:r w:rsidRPr="00924B74">
        <w:rPr>
          <w:rFonts w:ascii="Arial" w:hAnsi="Arial" w:cs="Arial"/>
        </w:rPr>
        <w:t>,000</w:t>
      </w:r>
      <w:r>
        <w:rPr>
          <w:rFonts w:ascii="Arial" w:hAnsi="Arial" w:cs="Arial"/>
        </w:rPr>
        <w:t xml:space="preserve"> per </w:t>
      </w:r>
      <w:r w:rsidR="00461F0D">
        <w:rPr>
          <w:rFonts w:ascii="Arial" w:hAnsi="Arial" w:cs="Arial"/>
        </w:rPr>
        <w:t>organisation</w:t>
      </w:r>
      <w:r w:rsidR="0027266D">
        <w:rPr>
          <w:rFonts w:ascii="Arial" w:hAnsi="Arial" w:cs="Arial"/>
        </w:rPr>
        <w:t xml:space="preserve">, and only one grant per </w:t>
      </w:r>
      <w:r w:rsidR="00461F0D">
        <w:rPr>
          <w:rFonts w:ascii="Arial" w:hAnsi="Arial" w:cs="Arial"/>
        </w:rPr>
        <w:t xml:space="preserve">organisation </w:t>
      </w:r>
      <w:r w:rsidR="0027266D">
        <w:rPr>
          <w:rFonts w:ascii="Arial" w:hAnsi="Arial" w:cs="Arial"/>
        </w:rPr>
        <w:t>is allowed in the funding period</w:t>
      </w:r>
      <w:r w:rsidR="00780765">
        <w:rPr>
          <w:rFonts w:ascii="Arial" w:hAnsi="Arial" w:cs="Arial"/>
        </w:rPr>
        <w:t xml:space="preserve"> (</w:t>
      </w:r>
      <w:r w:rsidR="00D750D1">
        <w:rPr>
          <w:rFonts w:ascii="Arial" w:hAnsi="Arial" w:cs="Arial"/>
        </w:rPr>
        <w:t xml:space="preserve">from </w:t>
      </w:r>
      <w:r w:rsidR="002A4021">
        <w:rPr>
          <w:rFonts w:ascii="Arial" w:hAnsi="Arial" w:cs="Arial"/>
        </w:rPr>
        <w:t xml:space="preserve">8 </w:t>
      </w:r>
      <w:r w:rsidR="00DB05D7">
        <w:rPr>
          <w:rFonts w:ascii="Arial" w:hAnsi="Arial" w:cs="Arial"/>
        </w:rPr>
        <w:t xml:space="preserve">November </w:t>
      </w:r>
      <w:r w:rsidR="00D750D1">
        <w:rPr>
          <w:rFonts w:ascii="Arial" w:hAnsi="Arial" w:cs="Arial"/>
        </w:rPr>
        <w:t xml:space="preserve">2021 </w:t>
      </w:r>
      <w:r w:rsidR="00BF1E1E">
        <w:rPr>
          <w:rFonts w:ascii="Arial" w:hAnsi="Arial" w:cs="Arial"/>
        </w:rPr>
        <w:t>–</w:t>
      </w:r>
      <w:r w:rsidR="00D750D1">
        <w:rPr>
          <w:rFonts w:ascii="Arial" w:hAnsi="Arial" w:cs="Arial"/>
        </w:rPr>
        <w:t xml:space="preserve"> </w:t>
      </w:r>
      <w:r w:rsidR="002A4021">
        <w:rPr>
          <w:rFonts w:ascii="Arial" w:hAnsi="Arial" w:cs="Arial"/>
        </w:rPr>
        <w:t xml:space="preserve">31 </w:t>
      </w:r>
      <w:r w:rsidR="006560D8">
        <w:rPr>
          <w:rFonts w:ascii="Arial" w:hAnsi="Arial" w:cs="Arial"/>
        </w:rPr>
        <w:t>December</w:t>
      </w:r>
      <w:r w:rsidR="00650EB4">
        <w:rPr>
          <w:rFonts w:ascii="Arial" w:hAnsi="Arial" w:cs="Arial"/>
        </w:rPr>
        <w:t xml:space="preserve"> </w:t>
      </w:r>
      <w:r w:rsidR="00BF1E1E">
        <w:rPr>
          <w:rFonts w:ascii="Arial" w:hAnsi="Arial" w:cs="Arial"/>
        </w:rPr>
        <w:t>202</w:t>
      </w:r>
      <w:r w:rsidR="006560D8">
        <w:rPr>
          <w:rFonts w:ascii="Arial" w:hAnsi="Arial" w:cs="Arial"/>
        </w:rPr>
        <w:t>1</w:t>
      </w:r>
      <w:r w:rsidR="006B721B">
        <w:rPr>
          <w:rFonts w:ascii="Arial" w:hAnsi="Arial" w:cs="Arial"/>
        </w:rPr>
        <w:t>)</w:t>
      </w:r>
    </w:p>
    <w:p w14:paraId="65D55373" w14:textId="77777777" w:rsidR="007E0156" w:rsidRDefault="007E0156" w:rsidP="007E0156">
      <w:pPr>
        <w:pStyle w:val="ListParagraph"/>
        <w:autoSpaceDE w:val="0"/>
        <w:autoSpaceDN w:val="0"/>
        <w:adjustRightInd w:val="0"/>
        <w:spacing w:after="0" w:line="240" w:lineRule="auto"/>
        <w:ind w:left="993"/>
        <w:rPr>
          <w:rFonts w:ascii="Arial" w:hAnsi="Arial" w:cs="Arial"/>
        </w:rPr>
      </w:pPr>
    </w:p>
    <w:p w14:paraId="10684440" w14:textId="336F00B5" w:rsidR="00780765" w:rsidRDefault="00AF024F" w:rsidP="007E0156">
      <w:pPr>
        <w:pStyle w:val="ListParagraph"/>
        <w:numPr>
          <w:ilvl w:val="0"/>
          <w:numId w:val="3"/>
        </w:numPr>
        <w:autoSpaceDE w:val="0"/>
        <w:autoSpaceDN w:val="0"/>
        <w:adjustRightInd w:val="0"/>
        <w:spacing w:after="0" w:line="240" w:lineRule="auto"/>
        <w:ind w:left="993" w:hanging="426"/>
        <w:rPr>
          <w:rFonts w:ascii="Arial" w:hAnsi="Arial" w:cs="Arial"/>
        </w:rPr>
      </w:pPr>
      <w:r>
        <w:rPr>
          <w:rFonts w:ascii="Arial" w:hAnsi="Arial" w:cs="Arial"/>
        </w:rPr>
        <w:t>The grant fund is limited to £400,000</w:t>
      </w:r>
      <w:r w:rsidR="00552F51">
        <w:rPr>
          <w:rFonts w:ascii="Arial" w:hAnsi="Arial" w:cs="Arial"/>
        </w:rPr>
        <w:t>.</w:t>
      </w:r>
      <w:r w:rsidR="002A4021">
        <w:rPr>
          <w:rFonts w:ascii="Arial" w:hAnsi="Arial" w:cs="Arial"/>
        </w:rPr>
        <w:t xml:space="preserve"> Applications will be assessed on their individual merits and the Council’s decision on awards is final.</w:t>
      </w:r>
    </w:p>
    <w:p w14:paraId="3D69FD86" w14:textId="77777777" w:rsidR="007E0156" w:rsidRPr="007E0156" w:rsidRDefault="007E0156" w:rsidP="007E0156">
      <w:pPr>
        <w:pStyle w:val="ListParagraph"/>
        <w:rPr>
          <w:rFonts w:ascii="Arial" w:hAnsi="Arial" w:cs="Arial"/>
        </w:rPr>
      </w:pPr>
    </w:p>
    <w:p w14:paraId="10684442" w14:textId="4EDFF7C0" w:rsidR="00924B74" w:rsidRPr="00DB3432" w:rsidRDefault="00924B74" w:rsidP="007E0156">
      <w:pPr>
        <w:pStyle w:val="ListParagraph"/>
        <w:numPr>
          <w:ilvl w:val="0"/>
          <w:numId w:val="3"/>
        </w:numPr>
        <w:autoSpaceDE w:val="0"/>
        <w:autoSpaceDN w:val="0"/>
        <w:adjustRightInd w:val="0"/>
        <w:spacing w:after="0" w:line="240" w:lineRule="auto"/>
        <w:ind w:left="993" w:hanging="426"/>
        <w:rPr>
          <w:rFonts w:ascii="Arial" w:hAnsi="Arial" w:cs="Arial"/>
          <w:i/>
          <w:iCs/>
        </w:rPr>
      </w:pPr>
      <w:r w:rsidRPr="00DB3432">
        <w:rPr>
          <w:rFonts w:ascii="Arial" w:hAnsi="Arial" w:cs="Arial"/>
        </w:rPr>
        <w:t xml:space="preserve">Grants must comply with </w:t>
      </w:r>
      <w:r w:rsidR="0054570D" w:rsidRPr="00DB3432">
        <w:rPr>
          <w:rFonts w:ascii="Arial" w:hAnsi="Arial" w:cs="Arial"/>
        </w:rPr>
        <w:t>the subsidy allowances that were established for the COVID-19 business grants schemes</w:t>
      </w:r>
      <w:r w:rsidR="007E0156" w:rsidRPr="00DB3432">
        <w:rPr>
          <w:rFonts w:ascii="Arial" w:hAnsi="Arial" w:cs="Arial"/>
        </w:rPr>
        <w:t>.</w:t>
      </w:r>
      <w:r w:rsidR="0054570D" w:rsidRPr="00DB3432">
        <w:rPr>
          <w:rFonts w:ascii="Arial" w:hAnsi="Arial" w:cs="Arial"/>
        </w:rPr>
        <w:t xml:space="preserve">  Further information can be found in</w:t>
      </w:r>
      <w:r w:rsidR="00F64B08" w:rsidRPr="00DB3432">
        <w:rPr>
          <w:rFonts w:ascii="Arial" w:hAnsi="Arial" w:cs="Arial"/>
        </w:rPr>
        <w:t xml:space="preserve"> Appendix 1</w:t>
      </w:r>
    </w:p>
    <w:p w14:paraId="3853A810" w14:textId="77777777" w:rsidR="007E0156" w:rsidRPr="007E0156" w:rsidRDefault="007E0156" w:rsidP="007E0156">
      <w:pPr>
        <w:pStyle w:val="ListParagraph"/>
        <w:autoSpaceDE w:val="0"/>
        <w:autoSpaceDN w:val="0"/>
        <w:adjustRightInd w:val="0"/>
        <w:spacing w:after="0" w:line="240" w:lineRule="auto"/>
        <w:ind w:left="993"/>
        <w:rPr>
          <w:rFonts w:ascii="Arial" w:hAnsi="Arial" w:cs="Arial"/>
          <w:i/>
          <w:iCs/>
          <w:color w:val="FF0000"/>
          <w:highlight w:val="yellow"/>
        </w:rPr>
      </w:pPr>
    </w:p>
    <w:p w14:paraId="10684443" w14:textId="0238A81B" w:rsidR="0027266D" w:rsidRPr="007E0156" w:rsidRDefault="0027266D" w:rsidP="007E0156">
      <w:pPr>
        <w:pStyle w:val="ListParagraph"/>
        <w:numPr>
          <w:ilvl w:val="0"/>
          <w:numId w:val="3"/>
        </w:numPr>
        <w:autoSpaceDE w:val="0"/>
        <w:autoSpaceDN w:val="0"/>
        <w:adjustRightInd w:val="0"/>
        <w:spacing w:after="0" w:line="240" w:lineRule="auto"/>
        <w:ind w:left="993" w:hanging="426"/>
        <w:rPr>
          <w:rFonts w:ascii="Arial" w:hAnsi="Arial" w:cs="Arial"/>
          <w:i/>
          <w:iCs/>
        </w:rPr>
      </w:pPr>
      <w:r w:rsidRPr="009B2216">
        <w:rPr>
          <w:rFonts w:ascii="Arial" w:hAnsi="Arial" w:cs="Arial"/>
        </w:rPr>
        <w:t>Grants may only be used for costs such as</w:t>
      </w:r>
      <w:r w:rsidR="000F092A" w:rsidRPr="009B2216">
        <w:rPr>
          <w:rFonts w:ascii="Arial" w:hAnsi="Arial" w:cs="Arial"/>
        </w:rPr>
        <w:t xml:space="preserve"> </w:t>
      </w:r>
      <w:r w:rsidR="002A4021" w:rsidRPr="009B2216">
        <w:rPr>
          <w:rFonts w:ascii="Arial" w:hAnsi="Arial" w:cs="Arial"/>
        </w:rPr>
        <w:t>equipment</w:t>
      </w:r>
      <w:r w:rsidR="000C366B" w:rsidRPr="009B2216">
        <w:rPr>
          <w:rFonts w:ascii="Arial" w:hAnsi="Arial" w:cs="Arial"/>
        </w:rPr>
        <w:t xml:space="preserve">, marketing, </w:t>
      </w:r>
      <w:r w:rsidR="008C56B0" w:rsidRPr="009B2216">
        <w:rPr>
          <w:rFonts w:ascii="Arial" w:hAnsi="Arial" w:cs="Arial"/>
        </w:rPr>
        <w:t xml:space="preserve">development of </w:t>
      </w:r>
      <w:r w:rsidR="00642DC4" w:rsidRPr="009B2216">
        <w:rPr>
          <w:rFonts w:ascii="Arial" w:hAnsi="Arial" w:cs="Arial"/>
        </w:rPr>
        <w:t>web</w:t>
      </w:r>
      <w:r w:rsidR="007E0156">
        <w:rPr>
          <w:rFonts w:ascii="Arial" w:hAnsi="Arial" w:cs="Arial"/>
        </w:rPr>
        <w:t>-</w:t>
      </w:r>
      <w:r w:rsidR="00642DC4" w:rsidRPr="009B2216">
        <w:rPr>
          <w:rFonts w:ascii="Arial" w:hAnsi="Arial" w:cs="Arial"/>
        </w:rPr>
        <w:t>based services</w:t>
      </w:r>
      <w:r w:rsidR="00A53C71" w:rsidRPr="009B2216">
        <w:rPr>
          <w:rFonts w:ascii="Arial" w:hAnsi="Arial" w:cs="Arial"/>
        </w:rPr>
        <w:t xml:space="preserve"> to improve online sales as well as </w:t>
      </w:r>
      <w:proofErr w:type="gramStart"/>
      <w:r w:rsidR="00A53C71" w:rsidRPr="009B2216">
        <w:rPr>
          <w:rFonts w:ascii="Arial" w:hAnsi="Arial" w:cs="Arial"/>
        </w:rPr>
        <w:t>on-premise</w:t>
      </w:r>
      <w:proofErr w:type="gramEnd"/>
      <w:r w:rsidR="00A53C71" w:rsidRPr="009B2216">
        <w:rPr>
          <w:rFonts w:ascii="Arial" w:hAnsi="Arial" w:cs="Arial"/>
        </w:rPr>
        <w:t xml:space="preserve"> sales, </w:t>
      </w:r>
      <w:r w:rsidR="00B109E1" w:rsidRPr="009B2216">
        <w:rPr>
          <w:rFonts w:ascii="Arial" w:hAnsi="Arial" w:cs="Arial"/>
        </w:rPr>
        <w:t>r</w:t>
      </w:r>
      <w:r w:rsidR="00864A93" w:rsidRPr="009B2216">
        <w:rPr>
          <w:rFonts w:ascii="Arial" w:hAnsi="Arial" w:cs="Arial"/>
        </w:rPr>
        <w:t xml:space="preserve">edecoration/minor maintenance of shops and business premises </w:t>
      </w:r>
      <w:r w:rsidR="00E97ABC" w:rsidRPr="009B2216">
        <w:rPr>
          <w:rFonts w:ascii="Arial" w:hAnsi="Arial" w:cs="Arial"/>
        </w:rPr>
        <w:t xml:space="preserve">where they have been vacant, </w:t>
      </w:r>
      <w:r w:rsidRPr="009B2216">
        <w:rPr>
          <w:rFonts w:ascii="Arial" w:hAnsi="Arial" w:cs="Arial"/>
        </w:rPr>
        <w:t>professional fees</w:t>
      </w:r>
      <w:r w:rsidR="003B4800" w:rsidRPr="009B2216">
        <w:rPr>
          <w:rFonts w:ascii="Arial" w:hAnsi="Arial" w:cs="Arial"/>
        </w:rPr>
        <w:t>, training</w:t>
      </w:r>
      <w:r w:rsidRPr="009B2216">
        <w:rPr>
          <w:rFonts w:ascii="Arial" w:hAnsi="Arial" w:cs="Arial"/>
        </w:rPr>
        <w:t xml:space="preserve"> or </w:t>
      </w:r>
      <w:r w:rsidR="00A00DB3" w:rsidRPr="009B2216">
        <w:rPr>
          <w:rFonts w:ascii="Arial" w:hAnsi="Arial" w:cs="Arial"/>
        </w:rPr>
        <w:t>the cost of attending trade shows</w:t>
      </w:r>
      <w:r w:rsidRPr="009B2216">
        <w:rPr>
          <w:rFonts w:ascii="Arial" w:hAnsi="Arial" w:cs="Arial"/>
        </w:rPr>
        <w:t xml:space="preserve">, </w:t>
      </w:r>
      <w:r w:rsidR="000F092A" w:rsidRPr="009B2216">
        <w:rPr>
          <w:rFonts w:ascii="Arial" w:hAnsi="Arial" w:cs="Arial"/>
        </w:rPr>
        <w:t xml:space="preserve">but </w:t>
      </w:r>
      <w:r w:rsidRPr="009B2216">
        <w:rPr>
          <w:rFonts w:ascii="Arial" w:hAnsi="Arial" w:cs="Arial"/>
        </w:rPr>
        <w:t xml:space="preserve">not for </w:t>
      </w:r>
      <w:r w:rsidR="009B2216" w:rsidRPr="007E0156">
        <w:rPr>
          <w:rFonts w:ascii="Arial" w:hAnsi="Arial" w:cs="Arial"/>
        </w:rPr>
        <w:t>funding capital projects</w:t>
      </w:r>
      <w:r w:rsidR="002A4021" w:rsidRPr="009B2216">
        <w:rPr>
          <w:rFonts w:ascii="Arial" w:hAnsi="Arial" w:cs="Arial"/>
        </w:rPr>
        <w:t>.</w:t>
      </w:r>
      <w:r w:rsidR="002666AE" w:rsidRPr="009B2216">
        <w:rPr>
          <w:rFonts w:ascii="Arial" w:hAnsi="Arial" w:cs="Arial"/>
        </w:rPr>
        <w:t xml:space="preserve"> </w:t>
      </w:r>
    </w:p>
    <w:p w14:paraId="10684444" w14:textId="77777777" w:rsidR="0027266D" w:rsidRDefault="0027266D" w:rsidP="000C366B">
      <w:pPr>
        <w:pStyle w:val="ListParagraph"/>
        <w:autoSpaceDE w:val="0"/>
        <w:autoSpaceDN w:val="0"/>
        <w:adjustRightInd w:val="0"/>
        <w:spacing w:after="0" w:line="240" w:lineRule="auto"/>
        <w:rPr>
          <w:rFonts w:ascii="Arial" w:hAnsi="Arial" w:cs="Arial"/>
        </w:rPr>
      </w:pPr>
    </w:p>
    <w:p w14:paraId="10684446" w14:textId="0D263D4E" w:rsidR="008333F6" w:rsidRDefault="0027266D" w:rsidP="007E0156">
      <w:pPr>
        <w:pStyle w:val="ListParagraph"/>
        <w:autoSpaceDE w:val="0"/>
        <w:autoSpaceDN w:val="0"/>
        <w:adjustRightInd w:val="0"/>
        <w:spacing w:after="0" w:line="240" w:lineRule="auto"/>
        <w:ind w:left="567" w:hanging="567"/>
        <w:rPr>
          <w:rFonts w:ascii="Arial" w:hAnsi="Arial" w:cs="Arial"/>
          <w:b/>
          <w:bCs/>
        </w:rPr>
      </w:pPr>
      <w:r>
        <w:rPr>
          <w:rFonts w:ascii="Arial" w:hAnsi="Arial" w:cs="Arial"/>
        </w:rPr>
        <w:t xml:space="preserve"> </w:t>
      </w:r>
      <w:r w:rsidR="008333F6">
        <w:rPr>
          <w:rFonts w:ascii="Arial" w:hAnsi="Arial" w:cs="Arial"/>
          <w:b/>
          <w:bCs/>
        </w:rPr>
        <w:t xml:space="preserve">4. </w:t>
      </w:r>
      <w:r w:rsidR="007E0156">
        <w:rPr>
          <w:rFonts w:ascii="Arial" w:hAnsi="Arial" w:cs="Arial"/>
          <w:b/>
          <w:bCs/>
        </w:rPr>
        <w:tab/>
      </w:r>
      <w:r w:rsidR="008333F6">
        <w:rPr>
          <w:rFonts w:ascii="Arial" w:hAnsi="Arial" w:cs="Arial"/>
          <w:b/>
          <w:bCs/>
        </w:rPr>
        <w:t>COMPLETING THE APPLICATION FORM</w:t>
      </w:r>
    </w:p>
    <w:p w14:paraId="17A38F78" w14:textId="77777777" w:rsidR="007E0156" w:rsidRDefault="007E0156" w:rsidP="00385ACB">
      <w:pPr>
        <w:pStyle w:val="ListParagraph"/>
        <w:autoSpaceDE w:val="0"/>
        <w:autoSpaceDN w:val="0"/>
        <w:adjustRightInd w:val="0"/>
        <w:spacing w:after="0" w:line="240" w:lineRule="auto"/>
        <w:ind w:left="567" w:hanging="567"/>
        <w:rPr>
          <w:rFonts w:ascii="Arial" w:hAnsi="Arial" w:cs="Arial"/>
          <w:b/>
          <w:bCs/>
        </w:rPr>
      </w:pPr>
    </w:p>
    <w:p w14:paraId="66A8BAAD" w14:textId="1E54A154" w:rsidR="007E0156" w:rsidRPr="00385ACB" w:rsidRDefault="00E037BB" w:rsidP="00385ACB">
      <w:pPr>
        <w:pStyle w:val="ListParagraph"/>
        <w:numPr>
          <w:ilvl w:val="0"/>
          <w:numId w:val="5"/>
        </w:numPr>
        <w:spacing w:after="0" w:line="240" w:lineRule="auto"/>
        <w:ind w:left="993" w:hanging="426"/>
        <w:rPr>
          <w:rFonts w:ascii="Arial" w:hAnsi="Arial" w:cs="Arial"/>
          <w:color w:val="000000"/>
        </w:rPr>
      </w:pPr>
      <w:r w:rsidRPr="00385ACB">
        <w:rPr>
          <w:rFonts w:ascii="Arial" w:hAnsi="Arial" w:cs="Arial"/>
          <w:color w:val="000000"/>
        </w:rPr>
        <w:t xml:space="preserve">It is important to </w:t>
      </w:r>
      <w:r w:rsidR="007E0156" w:rsidRPr="00385ACB">
        <w:rPr>
          <w:rFonts w:ascii="Arial" w:hAnsi="Arial" w:cs="Arial"/>
          <w:color w:val="000000"/>
        </w:rPr>
        <w:t xml:space="preserve">include </w:t>
      </w:r>
      <w:r w:rsidRPr="00385ACB">
        <w:rPr>
          <w:rFonts w:ascii="Arial" w:hAnsi="Arial" w:cs="Arial"/>
          <w:color w:val="000000"/>
        </w:rPr>
        <w:t>details confirming your eligibility</w:t>
      </w:r>
      <w:r w:rsidR="007E0156" w:rsidRPr="00385ACB">
        <w:rPr>
          <w:rFonts w:ascii="Arial" w:hAnsi="Arial" w:cs="Arial"/>
          <w:color w:val="000000"/>
        </w:rPr>
        <w:t>.</w:t>
      </w:r>
    </w:p>
    <w:p w14:paraId="1068444A" w14:textId="206BE7CF" w:rsidR="00E037BB" w:rsidRPr="00385ACB" w:rsidRDefault="00E037BB" w:rsidP="00385ACB">
      <w:pPr>
        <w:pStyle w:val="ListParagraph"/>
        <w:spacing w:after="0" w:line="240" w:lineRule="auto"/>
        <w:ind w:left="993" w:hanging="426"/>
        <w:rPr>
          <w:rFonts w:ascii="Arial" w:hAnsi="Arial" w:cs="Arial"/>
          <w:color w:val="000000"/>
        </w:rPr>
      </w:pPr>
      <w:r w:rsidRPr="00385ACB">
        <w:rPr>
          <w:rFonts w:ascii="Arial" w:hAnsi="Arial" w:cs="Arial"/>
          <w:color w:val="000000"/>
        </w:rPr>
        <w:t xml:space="preserve"> </w:t>
      </w:r>
    </w:p>
    <w:p w14:paraId="1068444B" w14:textId="40DED038" w:rsidR="00E037BB" w:rsidRPr="00385ACB" w:rsidRDefault="00E037BB" w:rsidP="00385ACB">
      <w:pPr>
        <w:pStyle w:val="ListParagraph"/>
        <w:numPr>
          <w:ilvl w:val="0"/>
          <w:numId w:val="5"/>
        </w:numPr>
        <w:spacing w:after="0" w:line="240" w:lineRule="auto"/>
        <w:ind w:left="993" w:hanging="426"/>
        <w:rPr>
          <w:rFonts w:ascii="Arial" w:hAnsi="Arial" w:cs="Arial"/>
          <w:color w:val="000000"/>
        </w:rPr>
      </w:pPr>
      <w:r w:rsidRPr="00385ACB">
        <w:rPr>
          <w:rFonts w:ascii="Arial" w:hAnsi="Arial" w:cs="Arial"/>
          <w:color w:val="000000"/>
        </w:rPr>
        <w:t>It is important to draw out the benefits you expect from your business from accessing the grant and when you expect these results to be forthcoming</w:t>
      </w:r>
      <w:r w:rsidR="007E0156" w:rsidRPr="00385ACB">
        <w:rPr>
          <w:rFonts w:ascii="Arial" w:hAnsi="Arial" w:cs="Arial"/>
          <w:color w:val="000000"/>
        </w:rPr>
        <w:t>.</w:t>
      </w:r>
    </w:p>
    <w:p w14:paraId="3EE6C471" w14:textId="2B701E17" w:rsidR="007E0156" w:rsidRPr="00385ACB" w:rsidRDefault="007E0156" w:rsidP="00385ACB">
      <w:pPr>
        <w:pStyle w:val="ListParagraph"/>
        <w:spacing w:after="0" w:line="240" w:lineRule="auto"/>
        <w:ind w:left="993" w:hanging="426"/>
        <w:rPr>
          <w:rFonts w:ascii="Arial" w:hAnsi="Arial" w:cs="Arial"/>
          <w:color w:val="000000"/>
        </w:rPr>
      </w:pPr>
    </w:p>
    <w:p w14:paraId="7F437E68" w14:textId="6D6FAB25" w:rsidR="00385ACB" w:rsidRDefault="00385ACB" w:rsidP="00385ACB">
      <w:pPr>
        <w:pStyle w:val="ListParagraph"/>
        <w:numPr>
          <w:ilvl w:val="0"/>
          <w:numId w:val="8"/>
        </w:numPr>
        <w:spacing w:after="0" w:line="240" w:lineRule="auto"/>
        <w:ind w:left="993" w:hanging="426"/>
        <w:rPr>
          <w:rFonts w:ascii="Arial" w:hAnsi="Arial" w:cs="Arial"/>
          <w:color w:val="000000"/>
        </w:rPr>
      </w:pPr>
      <w:r w:rsidRPr="00385ACB">
        <w:rPr>
          <w:rFonts w:ascii="Arial" w:hAnsi="Arial" w:cs="Arial"/>
          <w:color w:val="000000"/>
        </w:rPr>
        <w:t>Application forms must be completed in full. Failure to do so is likely to lead to grant applications being disqualified.</w:t>
      </w:r>
    </w:p>
    <w:p w14:paraId="7E6CDCCC" w14:textId="77777777" w:rsidR="00B55613" w:rsidRPr="002B0CED" w:rsidRDefault="00B55613" w:rsidP="00B55613">
      <w:pPr>
        <w:pStyle w:val="ListParagraph"/>
        <w:ind w:left="993"/>
        <w:rPr>
          <w:rFonts w:ascii="Arial" w:hAnsi="Arial" w:cs="Arial"/>
          <w:color w:val="000000"/>
          <w:highlight w:val="yellow"/>
        </w:rPr>
      </w:pPr>
    </w:p>
    <w:p w14:paraId="752DCF69" w14:textId="6A0A793F" w:rsidR="00385ACB" w:rsidRDefault="000F092A" w:rsidP="00385ACB">
      <w:pPr>
        <w:pStyle w:val="ListParagraph"/>
        <w:numPr>
          <w:ilvl w:val="0"/>
          <w:numId w:val="5"/>
        </w:numPr>
        <w:spacing w:after="0" w:line="240" w:lineRule="auto"/>
        <w:ind w:left="993" w:hanging="426"/>
        <w:rPr>
          <w:rFonts w:ascii="Arial" w:hAnsi="Arial" w:cs="Arial"/>
          <w:color w:val="000000"/>
        </w:rPr>
      </w:pPr>
      <w:r>
        <w:rPr>
          <w:rFonts w:ascii="Arial" w:hAnsi="Arial" w:cs="Arial"/>
          <w:color w:val="000000"/>
        </w:rPr>
        <w:t xml:space="preserve">GBC will endeavour to </w:t>
      </w:r>
      <w:proofErr w:type="gramStart"/>
      <w:r w:rsidR="007E0156">
        <w:rPr>
          <w:rFonts w:ascii="Arial" w:hAnsi="Arial" w:cs="Arial"/>
          <w:color w:val="000000"/>
        </w:rPr>
        <w:t>make a decision</w:t>
      </w:r>
      <w:proofErr w:type="gramEnd"/>
      <w:r w:rsidR="007E0156">
        <w:rPr>
          <w:rFonts w:ascii="Arial" w:hAnsi="Arial" w:cs="Arial"/>
          <w:color w:val="000000"/>
        </w:rPr>
        <w:t xml:space="preserve"> on </w:t>
      </w:r>
      <w:r>
        <w:rPr>
          <w:rFonts w:ascii="Arial" w:hAnsi="Arial" w:cs="Arial"/>
          <w:color w:val="000000"/>
        </w:rPr>
        <w:t xml:space="preserve">the grant </w:t>
      </w:r>
      <w:r w:rsidR="007E0156">
        <w:rPr>
          <w:rFonts w:ascii="Arial" w:hAnsi="Arial" w:cs="Arial"/>
          <w:color w:val="000000"/>
        </w:rPr>
        <w:t xml:space="preserve">award </w:t>
      </w:r>
      <w:r>
        <w:rPr>
          <w:rFonts w:ascii="Arial" w:hAnsi="Arial" w:cs="Arial"/>
          <w:color w:val="000000"/>
        </w:rPr>
        <w:t xml:space="preserve">as soon as possible </w:t>
      </w:r>
      <w:r w:rsidR="007E0156">
        <w:rPr>
          <w:rFonts w:ascii="Arial" w:hAnsi="Arial" w:cs="Arial"/>
          <w:color w:val="000000"/>
        </w:rPr>
        <w:t>after the deadline for applications (31 December 2021)</w:t>
      </w:r>
      <w:r w:rsidR="00385ACB">
        <w:rPr>
          <w:rFonts w:ascii="Arial" w:hAnsi="Arial" w:cs="Arial"/>
          <w:color w:val="000000"/>
        </w:rPr>
        <w:t>.</w:t>
      </w:r>
    </w:p>
    <w:p w14:paraId="373DD44D" w14:textId="77777777" w:rsidR="00385ACB" w:rsidRPr="00385ACB" w:rsidRDefault="00385ACB" w:rsidP="00385ACB">
      <w:pPr>
        <w:pStyle w:val="ListParagraph"/>
        <w:spacing w:after="0" w:line="240" w:lineRule="auto"/>
        <w:ind w:left="1134"/>
        <w:rPr>
          <w:rFonts w:ascii="Arial" w:hAnsi="Arial" w:cs="Arial"/>
          <w:color w:val="000000"/>
        </w:rPr>
      </w:pPr>
    </w:p>
    <w:p w14:paraId="1068444D" w14:textId="2255D4A9" w:rsidR="00E037BB" w:rsidRDefault="00E037BB" w:rsidP="00385ACB">
      <w:pPr>
        <w:spacing w:after="0" w:line="240" w:lineRule="auto"/>
        <w:ind w:left="567" w:hanging="567"/>
        <w:rPr>
          <w:rFonts w:ascii="Arial" w:hAnsi="Arial" w:cs="Arial"/>
          <w:b/>
          <w:color w:val="000000"/>
        </w:rPr>
      </w:pPr>
      <w:r w:rsidRPr="00E037BB">
        <w:rPr>
          <w:rFonts w:ascii="Arial" w:hAnsi="Arial" w:cs="Arial"/>
          <w:b/>
          <w:color w:val="000000"/>
        </w:rPr>
        <w:t>5</w:t>
      </w:r>
      <w:r>
        <w:rPr>
          <w:rFonts w:ascii="Arial" w:hAnsi="Arial" w:cs="Arial"/>
          <w:color w:val="000000"/>
        </w:rPr>
        <w:t xml:space="preserve">.   </w:t>
      </w:r>
      <w:r w:rsidR="00385ACB">
        <w:rPr>
          <w:rFonts w:ascii="Arial" w:hAnsi="Arial" w:cs="Arial"/>
          <w:color w:val="000000"/>
        </w:rPr>
        <w:tab/>
      </w:r>
      <w:r w:rsidR="007E0156">
        <w:rPr>
          <w:rFonts w:ascii="Arial" w:hAnsi="Arial" w:cs="Arial"/>
          <w:b/>
          <w:color w:val="000000"/>
        </w:rPr>
        <w:t>GRANT REQUIREMENTS</w:t>
      </w:r>
    </w:p>
    <w:p w14:paraId="4D9E005E" w14:textId="77777777" w:rsidR="00385ACB" w:rsidRDefault="00385ACB" w:rsidP="00385ACB">
      <w:pPr>
        <w:pStyle w:val="ListParagraph"/>
        <w:rPr>
          <w:rFonts w:ascii="Arial" w:hAnsi="Arial" w:cs="Arial"/>
          <w:color w:val="000000"/>
        </w:rPr>
      </w:pPr>
    </w:p>
    <w:p w14:paraId="10684456" w14:textId="02E137A3" w:rsidR="000C366B" w:rsidRPr="00385ACB" w:rsidRDefault="00385ACB" w:rsidP="00385ACB">
      <w:pPr>
        <w:pStyle w:val="ListParagraph"/>
        <w:numPr>
          <w:ilvl w:val="0"/>
          <w:numId w:val="8"/>
        </w:numPr>
        <w:ind w:left="993" w:hanging="426"/>
        <w:rPr>
          <w:rFonts w:ascii="Arial" w:hAnsi="Arial" w:cs="Arial"/>
          <w:color w:val="000000"/>
        </w:rPr>
      </w:pPr>
      <w:r w:rsidRPr="00385ACB">
        <w:rPr>
          <w:rFonts w:ascii="Arial" w:hAnsi="Arial" w:cs="Arial"/>
          <w:color w:val="000000"/>
        </w:rPr>
        <w:t xml:space="preserve">Grant recipients must provide </w:t>
      </w:r>
      <w:r w:rsidR="000C366B" w:rsidRPr="00385ACB">
        <w:rPr>
          <w:rFonts w:ascii="Arial" w:hAnsi="Arial" w:cs="Arial"/>
          <w:color w:val="000000"/>
        </w:rPr>
        <w:t xml:space="preserve">copies of </w:t>
      </w:r>
      <w:proofErr w:type="spellStart"/>
      <w:r w:rsidR="000C366B" w:rsidRPr="00385ACB">
        <w:rPr>
          <w:rFonts w:ascii="Arial" w:hAnsi="Arial" w:cs="Arial"/>
          <w:color w:val="000000"/>
        </w:rPr>
        <w:t>bonafide</w:t>
      </w:r>
      <w:proofErr w:type="spellEnd"/>
      <w:r w:rsidR="000C366B" w:rsidRPr="00385ACB">
        <w:rPr>
          <w:rFonts w:ascii="Arial" w:hAnsi="Arial" w:cs="Arial"/>
          <w:color w:val="000000"/>
        </w:rPr>
        <w:t xml:space="preserve"> </w:t>
      </w:r>
      <w:r w:rsidR="000C366B" w:rsidRPr="00385ACB">
        <w:rPr>
          <w:rFonts w:ascii="Arial" w:hAnsi="Arial" w:cs="Arial"/>
          <w:b/>
          <w:color w:val="000000"/>
        </w:rPr>
        <w:t>paid</w:t>
      </w:r>
      <w:r w:rsidR="000C366B" w:rsidRPr="00385ACB">
        <w:rPr>
          <w:rFonts w:ascii="Arial" w:hAnsi="Arial" w:cs="Arial"/>
          <w:color w:val="000000"/>
        </w:rPr>
        <w:t xml:space="preserve"> invoices from the supplier who carried out the work</w:t>
      </w:r>
      <w:r w:rsidRPr="00385ACB">
        <w:rPr>
          <w:rFonts w:ascii="Arial" w:hAnsi="Arial" w:cs="Arial"/>
          <w:color w:val="000000"/>
        </w:rPr>
        <w:t xml:space="preserve"> or provided the services supported by the grant</w:t>
      </w:r>
      <w:r>
        <w:rPr>
          <w:rFonts w:ascii="Arial" w:hAnsi="Arial" w:cs="Arial"/>
          <w:color w:val="000000"/>
        </w:rPr>
        <w:t xml:space="preserve"> to the Council</w:t>
      </w:r>
      <w:r w:rsidR="00433CA5" w:rsidRPr="00385ACB">
        <w:rPr>
          <w:rFonts w:ascii="Arial" w:hAnsi="Arial" w:cs="Arial"/>
          <w:color w:val="000000"/>
        </w:rPr>
        <w:t>. Pro forma invoices are not allowed</w:t>
      </w:r>
      <w:r w:rsidRPr="00385ACB">
        <w:rPr>
          <w:rFonts w:ascii="Arial" w:hAnsi="Arial" w:cs="Arial"/>
          <w:color w:val="000000"/>
        </w:rPr>
        <w:t>.</w:t>
      </w:r>
    </w:p>
    <w:p w14:paraId="260EF2CB" w14:textId="08AEBB11" w:rsidR="00385ACB" w:rsidRDefault="00385ACB" w:rsidP="00385ACB">
      <w:pPr>
        <w:pStyle w:val="ListParagraph"/>
        <w:ind w:left="993"/>
        <w:rPr>
          <w:rFonts w:ascii="Arial" w:hAnsi="Arial" w:cs="Arial"/>
          <w:color w:val="000000"/>
          <w:highlight w:val="yellow"/>
        </w:rPr>
      </w:pPr>
    </w:p>
    <w:p w14:paraId="3E51B7DA" w14:textId="101ACA3D" w:rsidR="00B55613" w:rsidRPr="00B55613" w:rsidRDefault="00385ACB" w:rsidP="00385ACB">
      <w:pPr>
        <w:pStyle w:val="ListParagraph"/>
        <w:numPr>
          <w:ilvl w:val="0"/>
          <w:numId w:val="8"/>
        </w:numPr>
        <w:ind w:left="993" w:hanging="426"/>
        <w:rPr>
          <w:rFonts w:ascii="Arial" w:hAnsi="Arial" w:cs="Arial"/>
          <w:color w:val="000000"/>
        </w:rPr>
      </w:pPr>
      <w:r w:rsidRPr="00B55613">
        <w:rPr>
          <w:rFonts w:ascii="Arial" w:hAnsi="Arial" w:cs="Arial"/>
          <w:color w:val="000000"/>
        </w:rPr>
        <w:t xml:space="preserve">Grant recipients must complete and return a feedback </w:t>
      </w:r>
      <w:r w:rsidR="00B55613" w:rsidRPr="00B55613">
        <w:rPr>
          <w:rFonts w:ascii="Arial" w:hAnsi="Arial" w:cs="Arial"/>
          <w:color w:val="000000"/>
        </w:rPr>
        <w:t>to the Council on the completion of the work or services supported by the grant.</w:t>
      </w:r>
    </w:p>
    <w:p w14:paraId="6006EF19" w14:textId="77777777" w:rsidR="00B55613" w:rsidRPr="00B55613" w:rsidRDefault="00B55613" w:rsidP="00B55613">
      <w:pPr>
        <w:pStyle w:val="ListParagraph"/>
        <w:rPr>
          <w:rFonts w:ascii="Arial" w:hAnsi="Arial" w:cs="Arial"/>
          <w:color w:val="000000"/>
          <w:highlight w:val="yellow"/>
        </w:rPr>
      </w:pPr>
    </w:p>
    <w:p w14:paraId="1068445E" w14:textId="11FE564E" w:rsidR="008333F6" w:rsidRDefault="003B4800" w:rsidP="008333F6">
      <w:pPr>
        <w:pStyle w:val="ListParagraph"/>
        <w:numPr>
          <w:ilvl w:val="0"/>
          <w:numId w:val="8"/>
        </w:numPr>
        <w:ind w:left="993" w:hanging="426"/>
        <w:rPr>
          <w:rFonts w:ascii="Arial" w:hAnsi="Arial" w:cs="Arial"/>
          <w:color w:val="000000"/>
        </w:rPr>
      </w:pPr>
      <w:r>
        <w:rPr>
          <w:rFonts w:ascii="Arial" w:hAnsi="Arial" w:cs="Arial"/>
          <w:color w:val="000000"/>
        </w:rPr>
        <w:t>The grant must not cover retrospective expenditure (that incurred prior to approval of the grant)</w:t>
      </w:r>
    </w:p>
    <w:p w14:paraId="20656BB2" w14:textId="77777777" w:rsidR="00DB3432" w:rsidRPr="00DB3432" w:rsidRDefault="00DB3432" w:rsidP="00DB3432">
      <w:pPr>
        <w:pStyle w:val="ListParagraph"/>
        <w:rPr>
          <w:rFonts w:ascii="Arial" w:hAnsi="Arial" w:cs="Arial"/>
          <w:color w:val="000000"/>
        </w:rPr>
      </w:pPr>
    </w:p>
    <w:p w14:paraId="654197B2" w14:textId="1A863B34" w:rsidR="00DB3432" w:rsidRDefault="00DB3432">
      <w:pPr>
        <w:rPr>
          <w:rFonts w:ascii="Arial" w:hAnsi="Arial" w:cs="Arial"/>
          <w:color w:val="000000"/>
        </w:rPr>
      </w:pPr>
      <w:r>
        <w:rPr>
          <w:rFonts w:ascii="Arial" w:hAnsi="Arial" w:cs="Arial"/>
          <w:color w:val="000000"/>
        </w:rPr>
        <w:br w:type="page"/>
      </w:r>
    </w:p>
    <w:p w14:paraId="47F342AD" w14:textId="748BDF32" w:rsidR="00DB3432" w:rsidRDefault="00DB3432" w:rsidP="00DB3432">
      <w:pPr>
        <w:pStyle w:val="Default"/>
        <w:ind w:left="720"/>
        <w:jc w:val="right"/>
        <w:rPr>
          <w:b/>
          <w:bCs/>
          <w:sz w:val="22"/>
          <w:szCs w:val="22"/>
        </w:rPr>
      </w:pPr>
      <w:r>
        <w:rPr>
          <w:b/>
          <w:bCs/>
          <w:sz w:val="22"/>
          <w:szCs w:val="22"/>
        </w:rPr>
        <w:lastRenderedPageBreak/>
        <w:t>APPENDIX 1</w:t>
      </w:r>
    </w:p>
    <w:p w14:paraId="34FE66FE" w14:textId="77777777" w:rsidR="00DB3432" w:rsidRDefault="00DB3432" w:rsidP="00DB3432">
      <w:pPr>
        <w:pStyle w:val="Default"/>
        <w:ind w:left="720"/>
        <w:jc w:val="right"/>
        <w:rPr>
          <w:b/>
          <w:bCs/>
          <w:sz w:val="22"/>
          <w:szCs w:val="22"/>
        </w:rPr>
      </w:pPr>
    </w:p>
    <w:p w14:paraId="4083168F" w14:textId="117DCC0A" w:rsidR="00DB3432" w:rsidRPr="00DB3432" w:rsidRDefault="00DB3432" w:rsidP="00DB3432">
      <w:pPr>
        <w:pStyle w:val="Default"/>
        <w:rPr>
          <w:b/>
          <w:bCs/>
          <w:sz w:val="22"/>
          <w:szCs w:val="22"/>
        </w:rPr>
      </w:pPr>
      <w:r w:rsidRPr="00DB3432">
        <w:rPr>
          <w:b/>
          <w:bCs/>
          <w:sz w:val="22"/>
          <w:szCs w:val="22"/>
        </w:rPr>
        <w:t>SUBSIDY ALLOWANCES</w:t>
      </w:r>
    </w:p>
    <w:p w14:paraId="00053DB3" w14:textId="77777777" w:rsidR="00DB3432" w:rsidRPr="00DB3432" w:rsidRDefault="00DB3432" w:rsidP="00DB3432">
      <w:pPr>
        <w:pStyle w:val="Default"/>
        <w:rPr>
          <w:sz w:val="22"/>
          <w:szCs w:val="22"/>
        </w:rPr>
      </w:pPr>
    </w:p>
    <w:p w14:paraId="641CB605" w14:textId="77777777" w:rsidR="00DB3432" w:rsidRPr="00DB3432" w:rsidRDefault="00DB3432" w:rsidP="00DB3432">
      <w:pPr>
        <w:pStyle w:val="Default"/>
        <w:spacing w:after="158"/>
        <w:rPr>
          <w:sz w:val="22"/>
          <w:szCs w:val="22"/>
        </w:rPr>
      </w:pPr>
      <w:r w:rsidRPr="00DB3432">
        <w:rPr>
          <w:sz w:val="22"/>
          <w:szCs w:val="22"/>
        </w:rPr>
        <w:t xml:space="preserve">The EU State aid rules no longer apply to subsidies granted in the UK following the end of the transition period, which ended on 31 December 2020. This does not impact the limited circumstances in which State aid rules still apply under the Withdrawal Agreement, specifically Article 10 of the Northern Ireland Protocol. The United Kingdom remains bound by its international commitments, including subsidy obligations set out in the Trade and Cooperation Agreement (TCA) with the EU. BEIS Guidance for public authorities explaining the subsidies chapter of the TCA, World Trade Organisation rules on subsidies, and other international commitments can be found here: https://www.gov.uk/government/publications/complying-with-the-uks-international-obligations-on-subsidy-control-guidance-for-public-authorities </w:t>
      </w:r>
    </w:p>
    <w:p w14:paraId="3C7FCE49" w14:textId="77777777" w:rsidR="00DB3432" w:rsidRPr="00DB3432" w:rsidRDefault="00DB3432" w:rsidP="00DB3432">
      <w:pPr>
        <w:pStyle w:val="Default"/>
        <w:rPr>
          <w:sz w:val="22"/>
          <w:szCs w:val="22"/>
        </w:rPr>
      </w:pPr>
      <w:r w:rsidRPr="00DB3432">
        <w:rPr>
          <w:sz w:val="22"/>
          <w:szCs w:val="22"/>
        </w:rPr>
        <w:t xml:space="preserve">On Thursday 4 March new subsidy allowances were established for the COVID-19 business grants schemes, </w:t>
      </w:r>
      <w:proofErr w:type="gramStart"/>
      <w:r w:rsidRPr="00DB3432">
        <w:rPr>
          <w:sz w:val="22"/>
          <w:szCs w:val="22"/>
        </w:rPr>
        <w:t>on the basis of</w:t>
      </w:r>
      <w:proofErr w:type="gramEnd"/>
      <w:r w:rsidRPr="00DB3432">
        <w:rPr>
          <w:sz w:val="22"/>
          <w:szCs w:val="22"/>
        </w:rPr>
        <w:t xml:space="preserve"> the principles set out in Article 3.4 of the TCA. </w:t>
      </w:r>
    </w:p>
    <w:p w14:paraId="0E19A083" w14:textId="77777777" w:rsidR="00DB3432" w:rsidRPr="00DB3432" w:rsidRDefault="00DB3432" w:rsidP="00DB3432">
      <w:pPr>
        <w:pStyle w:val="Default"/>
        <w:ind w:left="720"/>
        <w:rPr>
          <w:sz w:val="22"/>
          <w:szCs w:val="22"/>
        </w:rPr>
      </w:pPr>
    </w:p>
    <w:p w14:paraId="082F7AD7" w14:textId="77777777" w:rsidR="00DB3432" w:rsidRPr="00DB3432" w:rsidRDefault="00DB3432" w:rsidP="00DB3432">
      <w:pPr>
        <w:pStyle w:val="Default"/>
        <w:rPr>
          <w:b/>
          <w:bCs/>
          <w:sz w:val="22"/>
          <w:szCs w:val="22"/>
        </w:rPr>
      </w:pPr>
      <w:r w:rsidRPr="00DB3432">
        <w:rPr>
          <w:b/>
          <w:bCs/>
          <w:sz w:val="22"/>
          <w:szCs w:val="22"/>
        </w:rPr>
        <w:t xml:space="preserve">Updated COVID-19 business grants subsidy allowances based on the TCA </w:t>
      </w:r>
    </w:p>
    <w:p w14:paraId="208834E4" w14:textId="77777777" w:rsidR="00DB3432" w:rsidRPr="00DB3432" w:rsidRDefault="00DB3432" w:rsidP="00DB3432">
      <w:pPr>
        <w:pStyle w:val="Default"/>
        <w:ind w:left="720"/>
        <w:rPr>
          <w:sz w:val="22"/>
          <w:szCs w:val="22"/>
        </w:rPr>
      </w:pPr>
    </w:p>
    <w:p w14:paraId="2461DDCE" w14:textId="77777777" w:rsidR="00DB3432" w:rsidRPr="00DB3432" w:rsidRDefault="00DB3432" w:rsidP="00DB3432">
      <w:pPr>
        <w:pStyle w:val="Default"/>
        <w:spacing w:after="158"/>
        <w:rPr>
          <w:sz w:val="22"/>
          <w:szCs w:val="22"/>
        </w:rPr>
      </w:pPr>
      <w:r w:rsidRPr="00DB3432">
        <w:rPr>
          <w:sz w:val="22"/>
          <w:szCs w:val="22"/>
        </w:rPr>
        <w:t xml:space="preserve">The below scheme rules should be applied to applicants at the level of economic actor, which is defined as an entity or a group of entities constituting a single economic entity regardless of its legal status, that is engaged in an economic activity by offering goods or services on a market. </w:t>
      </w:r>
    </w:p>
    <w:p w14:paraId="5986EC8B" w14:textId="77777777" w:rsidR="00DB3432" w:rsidRPr="00DB3432" w:rsidRDefault="00DB3432" w:rsidP="00DB3432">
      <w:pPr>
        <w:pStyle w:val="Default"/>
        <w:rPr>
          <w:sz w:val="22"/>
          <w:szCs w:val="22"/>
        </w:rPr>
      </w:pPr>
      <w:r w:rsidRPr="00DB3432">
        <w:rPr>
          <w:b/>
          <w:bCs/>
          <w:sz w:val="22"/>
          <w:szCs w:val="22"/>
        </w:rPr>
        <w:t>There are three subsidy allowances for this scheme set out below</w:t>
      </w:r>
      <w:r w:rsidRPr="00DB3432">
        <w:rPr>
          <w:sz w:val="22"/>
          <w:szCs w:val="22"/>
        </w:rPr>
        <w:t xml:space="preserve">: Small Amounts of Financial Assistance Allowance, the COVID-19 Business Grant </w:t>
      </w:r>
      <w:proofErr w:type="gramStart"/>
      <w:r w:rsidRPr="00DB3432">
        <w:rPr>
          <w:sz w:val="22"/>
          <w:szCs w:val="22"/>
        </w:rPr>
        <w:t>Allowance</w:t>
      </w:r>
      <w:proofErr w:type="gramEnd"/>
      <w:r w:rsidRPr="00DB3432">
        <w:rPr>
          <w:sz w:val="22"/>
          <w:szCs w:val="22"/>
        </w:rPr>
        <w:t xml:space="preserve"> and the COVID-19 Business Grant Special Allowance. </w:t>
      </w:r>
    </w:p>
    <w:p w14:paraId="282D7FFE" w14:textId="77777777" w:rsidR="00DB3432" w:rsidRPr="00DB3432" w:rsidRDefault="00DB3432" w:rsidP="00DB3432">
      <w:pPr>
        <w:pStyle w:val="Default"/>
        <w:ind w:left="720"/>
        <w:rPr>
          <w:sz w:val="22"/>
          <w:szCs w:val="22"/>
        </w:rPr>
      </w:pPr>
    </w:p>
    <w:p w14:paraId="7493F189" w14:textId="77777777" w:rsidR="00DB3432" w:rsidRPr="00DB3432" w:rsidRDefault="00DB3432" w:rsidP="00DB3432">
      <w:pPr>
        <w:pStyle w:val="Default"/>
        <w:rPr>
          <w:b/>
          <w:bCs/>
          <w:sz w:val="22"/>
          <w:szCs w:val="22"/>
        </w:rPr>
      </w:pPr>
      <w:r w:rsidRPr="00DB3432">
        <w:rPr>
          <w:b/>
          <w:bCs/>
          <w:sz w:val="22"/>
          <w:szCs w:val="22"/>
        </w:rPr>
        <w:t xml:space="preserve">Small Amounts of Financial Assistance Allowance </w:t>
      </w:r>
    </w:p>
    <w:p w14:paraId="6AA612CC" w14:textId="77777777" w:rsidR="00DB3432" w:rsidRPr="00DB3432" w:rsidRDefault="00DB3432" w:rsidP="00DB3432">
      <w:pPr>
        <w:pStyle w:val="Default"/>
        <w:rPr>
          <w:sz w:val="22"/>
          <w:szCs w:val="22"/>
        </w:rPr>
      </w:pPr>
      <w:r w:rsidRPr="00DB3432">
        <w:rPr>
          <w:sz w:val="22"/>
          <w:szCs w:val="22"/>
        </w:rPr>
        <w:t xml:space="preserve">Grants may be paid in accordance with Article 3.2(4) of the TCA, which enables an applicant to receive up to a maximum level of subsidy without engaging Chapter 3 of the TCA. This allowance is 325,000 Special Drawing Rights, to a single economic actor over any period of three fiscal years, which is the equivalent of £335,000 as </w:t>
      </w:r>
      <w:proofErr w:type="gramStart"/>
      <w:r w:rsidRPr="00DB3432">
        <w:rPr>
          <w:sz w:val="22"/>
          <w:szCs w:val="22"/>
        </w:rPr>
        <w:t>at</w:t>
      </w:r>
      <w:proofErr w:type="gramEnd"/>
      <w:r w:rsidRPr="00DB3432">
        <w:rPr>
          <w:sz w:val="22"/>
          <w:szCs w:val="22"/>
        </w:rPr>
        <w:t xml:space="preserve"> 2 March 2021</w:t>
      </w:r>
      <w:r w:rsidRPr="00DB3432">
        <w:rPr>
          <w:rStyle w:val="FootnoteReference"/>
          <w:sz w:val="22"/>
          <w:szCs w:val="22"/>
        </w:rPr>
        <w:footnoteReference w:id="1"/>
      </w:r>
      <w:r w:rsidRPr="00DB3432">
        <w:rPr>
          <w:sz w:val="22"/>
          <w:szCs w:val="22"/>
        </w:rPr>
        <w:t xml:space="preserve">. An applicant may elect not to receive grants under the Small Amounts of Financial Assistance Allowance and instead receive grants only using the below allowances available under this scheme. </w:t>
      </w:r>
    </w:p>
    <w:p w14:paraId="002C0A09" w14:textId="77777777" w:rsidR="00DB3432" w:rsidRPr="00DB3432" w:rsidRDefault="00DB3432" w:rsidP="00DB3432">
      <w:pPr>
        <w:pStyle w:val="Default"/>
        <w:ind w:left="720"/>
        <w:rPr>
          <w:sz w:val="22"/>
          <w:szCs w:val="22"/>
        </w:rPr>
      </w:pPr>
    </w:p>
    <w:p w14:paraId="34899A4A" w14:textId="77777777" w:rsidR="00DB3432" w:rsidRPr="00DB3432" w:rsidRDefault="00DB3432" w:rsidP="00DB3432">
      <w:pPr>
        <w:pStyle w:val="Default"/>
        <w:rPr>
          <w:b/>
          <w:bCs/>
          <w:sz w:val="22"/>
          <w:szCs w:val="22"/>
        </w:rPr>
      </w:pPr>
      <w:r w:rsidRPr="00DB3432">
        <w:rPr>
          <w:b/>
          <w:bCs/>
          <w:sz w:val="22"/>
          <w:szCs w:val="22"/>
        </w:rPr>
        <w:t xml:space="preserve">COVID-19 Business Grant Allowance </w:t>
      </w:r>
    </w:p>
    <w:p w14:paraId="1DF0EA5E" w14:textId="77777777" w:rsidR="00DB3432" w:rsidRPr="00DB3432" w:rsidRDefault="00DB3432" w:rsidP="00DB3432">
      <w:pPr>
        <w:pStyle w:val="Default"/>
        <w:rPr>
          <w:sz w:val="22"/>
          <w:szCs w:val="22"/>
        </w:rPr>
      </w:pPr>
      <w:r w:rsidRPr="00DB3432">
        <w:rPr>
          <w:sz w:val="22"/>
          <w:szCs w:val="22"/>
        </w:rPr>
        <w:t xml:space="preserve">Where the Small Amounts of Financial Assistance Allowance has been reached, grants may be paid in compliance with the Principles set out in Article 3.4 of the TCA and in compliance with Article 3.2(3) of the TCA under the COVID-19 Business Grant Allowance (subsidies granted on a temporary basis to respond to a national or global economic emergency). For the purposes of these scheme rules, this allowance is £1,600,000 per single economic actor. This allowance includes any grants previously received under the COVID-19 business grant schemes and any State aid previously received under Section 3.1 of the European Commission’s Temporary Framework across any other UK scheme. This may be combined with the Small Amounts of Financial Assistance Allowance to equal £1,935,000 (subject to the exact amount applicable under the Small Amounts of Financial Assistance Allowance using the Special Drawing Right calculator). </w:t>
      </w:r>
    </w:p>
    <w:p w14:paraId="3E5BE613" w14:textId="77777777" w:rsidR="00DB3432" w:rsidRPr="00DB3432" w:rsidRDefault="00DB3432" w:rsidP="00DB3432">
      <w:pPr>
        <w:pStyle w:val="Default"/>
        <w:ind w:left="720"/>
        <w:rPr>
          <w:sz w:val="22"/>
          <w:szCs w:val="22"/>
        </w:rPr>
      </w:pPr>
    </w:p>
    <w:p w14:paraId="66963D25" w14:textId="77777777" w:rsidR="00DB3432" w:rsidRPr="00DB3432" w:rsidRDefault="00DB3432" w:rsidP="00DB3432">
      <w:pPr>
        <w:pStyle w:val="Default"/>
        <w:rPr>
          <w:b/>
          <w:bCs/>
          <w:sz w:val="22"/>
          <w:szCs w:val="22"/>
        </w:rPr>
      </w:pPr>
      <w:r w:rsidRPr="00DB3432">
        <w:rPr>
          <w:b/>
          <w:bCs/>
          <w:sz w:val="22"/>
          <w:szCs w:val="22"/>
        </w:rPr>
        <w:t xml:space="preserve">COVID-19 Business Grant Special Allowance </w:t>
      </w:r>
    </w:p>
    <w:p w14:paraId="2CB490E8" w14:textId="77777777" w:rsidR="00DB3432" w:rsidRPr="00DB3432" w:rsidRDefault="00DB3432" w:rsidP="00DB3432">
      <w:pPr>
        <w:pStyle w:val="Default"/>
        <w:spacing w:after="158"/>
        <w:rPr>
          <w:sz w:val="22"/>
          <w:szCs w:val="22"/>
        </w:rPr>
      </w:pPr>
      <w:r w:rsidRPr="00DB3432">
        <w:rPr>
          <w:sz w:val="22"/>
          <w:szCs w:val="22"/>
        </w:rPr>
        <w:t xml:space="preserve">Where an applicant has reached its limit under the Small Amounts of Financial Assistance Allowance and COVID-19 Business Grant Allowance, it may be able to access a further </w:t>
      </w:r>
      <w:r w:rsidRPr="00DB3432">
        <w:rPr>
          <w:sz w:val="22"/>
          <w:szCs w:val="22"/>
        </w:rPr>
        <w:lastRenderedPageBreak/>
        <w:t xml:space="preserve">allowance of funding under these scheme rules of up to £9,000,000 per single economic actor, provided the following conditions are met: </w:t>
      </w:r>
    </w:p>
    <w:p w14:paraId="2627CD4E" w14:textId="77777777" w:rsidR="00DB3432" w:rsidRPr="00DB3432" w:rsidRDefault="00DB3432" w:rsidP="00DB3432">
      <w:pPr>
        <w:pStyle w:val="Default"/>
        <w:ind w:left="567" w:hanging="567"/>
        <w:rPr>
          <w:sz w:val="22"/>
          <w:szCs w:val="22"/>
        </w:rPr>
      </w:pPr>
      <w:r w:rsidRPr="00DB3432">
        <w:rPr>
          <w:sz w:val="22"/>
          <w:szCs w:val="22"/>
        </w:rPr>
        <w:t xml:space="preserve">a. </w:t>
      </w:r>
      <w:r w:rsidRPr="00DB3432">
        <w:rPr>
          <w:sz w:val="22"/>
          <w:szCs w:val="22"/>
        </w:rPr>
        <w:tab/>
        <w:t>The Special Allowance covers only the applicant’s uncovered fixed costs incurred during the period between 1 March 2020 and 31 March 2022, including such costs incurred in any part of that period (‘eligible period’</w:t>
      </w:r>
      <w:proofErr w:type="gramStart"/>
      <w:r w:rsidRPr="00DB3432">
        <w:rPr>
          <w:sz w:val="22"/>
          <w:szCs w:val="22"/>
        </w:rPr>
        <w:t>);</w:t>
      </w:r>
      <w:proofErr w:type="gramEnd"/>
      <w:r w:rsidRPr="00DB3432">
        <w:rPr>
          <w:sz w:val="22"/>
          <w:szCs w:val="22"/>
        </w:rPr>
        <w:t xml:space="preserve"> </w:t>
      </w:r>
    </w:p>
    <w:p w14:paraId="5FFBE594" w14:textId="77777777" w:rsidR="00DB3432" w:rsidRPr="00DB3432" w:rsidRDefault="00DB3432" w:rsidP="00DB3432">
      <w:pPr>
        <w:pStyle w:val="Default"/>
        <w:ind w:left="567" w:hanging="567"/>
        <w:rPr>
          <w:sz w:val="22"/>
          <w:szCs w:val="22"/>
        </w:rPr>
      </w:pPr>
      <w:r w:rsidRPr="00DB3432">
        <w:rPr>
          <w:sz w:val="22"/>
          <w:szCs w:val="22"/>
        </w:rPr>
        <w:t xml:space="preserve">b. </w:t>
      </w:r>
      <w:r w:rsidRPr="00DB3432">
        <w:rPr>
          <w:sz w:val="22"/>
          <w:szCs w:val="22"/>
        </w:rPr>
        <w:tab/>
        <w:t xml:space="preserve">Applicants must demonstrate a decline in turnover during the eligible period of at least 30% compared to the same period in 2019. The calculation of losses will be based on audited accounts or official statutory accounts filed at Companies House, or approved accounts submitted to HMRC which includes information on the applicant’s profit and </w:t>
      </w:r>
      <w:proofErr w:type="gramStart"/>
      <w:r w:rsidRPr="00DB3432">
        <w:rPr>
          <w:sz w:val="22"/>
          <w:szCs w:val="22"/>
        </w:rPr>
        <w:t>loss;</w:t>
      </w:r>
      <w:proofErr w:type="gramEnd"/>
      <w:r w:rsidRPr="00DB3432">
        <w:rPr>
          <w:sz w:val="22"/>
          <w:szCs w:val="22"/>
        </w:rPr>
        <w:t xml:space="preserve"> </w:t>
      </w:r>
    </w:p>
    <w:p w14:paraId="5DA33A1A" w14:textId="77777777" w:rsidR="00DB3432" w:rsidRPr="00DB3432" w:rsidRDefault="00DB3432" w:rsidP="00DB3432">
      <w:pPr>
        <w:pStyle w:val="Default"/>
        <w:ind w:left="567" w:hanging="567"/>
        <w:rPr>
          <w:sz w:val="22"/>
          <w:szCs w:val="22"/>
        </w:rPr>
      </w:pPr>
      <w:r w:rsidRPr="00DB3432">
        <w:rPr>
          <w:sz w:val="22"/>
          <w:szCs w:val="22"/>
        </w:rPr>
        <w:t xml:space="preserve">c. </w:t>
      </w:r>
      <w:r w:rsidRPr="00DB3432">
        <w:rPr>
          <w:sz w:val="22"/>
          <w:szCs w:val="22"/>
        </w:rPr>
        <w:tab/>
        <w:t xml:space="preserve">‘Uncovered fixed costs’ means fixed costs not otherwise covered by profit, insurance or other </w:t>
      </w:r>
      <w:proofErr w:type="gramStart"/>
      <w:r w:rsidRPr="00DB3432">
        <w:rPr>
          <w:sz w:val="22"/>
          <w:szCs w:val="22"/>
        </w:rPr>
        <w:t>subsidies;</w:t>
      </w:r>
      <w:proofErr w:type="gramEnd"/>
      <w:r w:rsidRPr="00DB3432">
        <w:rPr>
          <w:sz w:val="22"/>
          <w:szCs w:val="22"/>
        </w:rPr>
        <w:t xml:space="preserve"> </w:t>
      </w:r>
    </w:p>
    <w:p w14:paraId="59F8E165" w14:textId="77777777" w:rsidR="00DB3432" w:rsidRPr="00DB3432" w:rsidRDefault="00DB3432" w:rsidP="00DB3432">
      <w:pPr>
        <w:pStyle w:val="Default"/>
        <w:ind w:left="567" w:hanging="567"/>
        <w:rPr>
          <w:sz w:val="22"/>
          <w:szCs w:val="22"/>
        </w:rPr>
      </w:pPr>
      <w:r w:rsidRPr="00DB3432">
        <w:rPr>
          <w:sz w:val="22"/>
          <w:szCs w:val="22"/>
        </w:rPr>
        <w:t xml:space="preserve">d. </w:t>
      </w:r>
      <w:r w:rsidRPr="00DB3432">
        <w:rPr>
          <w:sz w:val="22"/>
          <w:szCs w:val="22"/>
        </w:rPr>
        <w:tab/>
        <w:t xml:space="preserve">The grant payment must not exceed 70% of the applicant’s uncovered fixed costs, except for micro and small enterprises (for the purposes of this scheme defined as less than 50 employees and less than £9,000,000 of annual turnover and/or annual balance sheet), where the grant payment must not exceed 90% of the uncovered fixed </w:t>
      </w:r>
      <w:proofErr w:type="gramStart"/>
      <w:r w:rsidRPr="00DB3432">
        <w:rPr>
          <w:sz w:val="22"/>
          <w:szCs w:val="22"/>
        </w:rPr>
        <w:t>costs;</w:t>
      </w:r>
      <w:proofErr w:type="gramEnd"/>
      <w:r w:rsidRPr="00DB3432">
        <w:rPr>
          <w:sz w:val="22"/>
          <w:szCs w:val="22"/>
        </w:rPr>
        <w:t xml:space="preserve"> </w:t>
      </w:r>
    </w:p>
    <w:p w14:paraId="3BEBB363" w14:textId="77777777" w:rsidR="00DB3432" w:rsidRPr="00DB3432" w:rsidRDefault="00DB3432" w:rsidP="00DB3432">
      <w:pPr>
        <w:pStyle w:val="Default"/>
        <w:ind w:left="567" w:hanging="567"/>
        <w:rPr>
          <w:sz w:val="22"/>
          <w:szCs w:val="22"/>
        </w:rPr>
      </w:pPr>
      <w:r w:rsidRPr="00DB3432">
        <w:rPr>
          <w:sz w:val="22"/>
          <w:szCs w:val="22"/>
        </w:rPr>
        <w:t xml:space="preserve">e. </w:t>
      </w:r>
      <w:r w:rsidRPr="00DB3432">
        <w:rPr>
          <w:sz w:val="22"/>
          <w:szCs w:val="22"/>
        </w:rPr>
        <w:tab/>
        <w:t xml:space="preserve">Grant payments under this allowance must not exceed £9,000,000 per single economic actor. This allowance includes any grants previously received in accordance with Section 3.12 of the European Commission’s Temporary Framework; all figures used must be gross, that is, before any deduction of tax or other </w:t>
      </w:r>
      <w:proofErr w:type="gramStart"/>
      <w:r w:rsidRPr="00DB3432">
        <w:rPr>
          <w:sz w:val="22"/>
          <w:szCs w:val="22"/>
        </w:rPr>
        <w:t>charge;</w:t>
      </w:r>
      <w:proofErr w:type="gramEnd"/>
      <w:r w:rsidRPr="00DB3432">
        <w:rPr>
          <w:sz w:val="22"/>
          <w:szCs w:val="22"/>
        </w:rPr>
        <w:t xml:space="preserve"> </w:t>
      </w:r>
    </w:p>
    <w:p w14:paraId="5C4DB2AE" w14:textId="77777777" w:rsidR="00DB3432" w:rsidRPr="00DB3432" w:rsidRDefault="00DB3432" w:rsidP="00DB3432">
      <w:pPr>
        <w:pStyle w:val="Default"/>
        <w:ind w:left="567" w:hanging="567"/>
        <w:rPr>
          <w:sz w:val="22"/>
          <w:szCs w:val="22"/>
        </w:rPr>
      </w:pPr>
      <w:r w:rsidRPr="00DB3432">
        <w:rPr>
          <w:sz w:val="22"/>
          <w:szCs w:val="22"/>
        </w:rPr>
        <w:t xml:space="preserve">f. </w:t>
      </w:r>
      <w:r w:rsidRPr="00DB3432">
        <w:rPr>
          <w:sz w:val="22"/>
          <w:szCs w:val="22"/>
        </w:rPr>
        <w:tab/>
        <w:t xml:space="preserve">Grants provided under this allowance shall not be cumulated with other subsidies for the same costs. </w:t>
      </w:r>
    </w:p>
    <w:p w14:paraId="2BCCB59F" w14:textId="77777777" w:rsidR="00DB3432" w:rsidRPr="00DB3432" w:rsidRDefault="00DB3432" w:rsidP="00DB3432">
      <w:pPr>
        <w:pStyle w:val="Default"/>
        <w:ind w:left="1440" w:hanging="720"/>
        <w:rPr>
          <w:sz w:val="22"/>
          <w:szCs w:val="22"/>
        </w:rPr>
      </w:pPr>
    </w:p>
    <w:p w14:paraId="78E78278" w14:textId="77777777" w:rsidR="00DB3432" w:rsidRPr="00DB3432" w:rsidRDefault="00DB3432" w:rsidP="00DB3432">
      <w:pPr>
        <w:pStyle w:val="Default"/>
        <w:spacing w:after="175"/>
        <w:rPr>
          <w:sz w:val="22"/>
          <w:szCs w:val="22"/>
        </w:rPr>
      </w:pPr>
      <w:r w:rsidRPr="00DB3432">
        <w:rPr>
          <w:sz w:val="22"/>
          <w:szCs w:val="22"/>
        </w:rPr>
        <w:t xml:space="preserve">An applicant must be able to provide the necessary documentation to demonstrate it is eligible for funding under this COVID-19 Business Grant Special Allowance. Local Authorities must first verify that an applicant can meet all the criteria set out under this allowance before providing further funding under this allowance. </w:t>
      </w:r>
    </w:p>
    <w:p w14:paraId="64852995" w14:textId="77777777" w:rsidR="00DB3432" w:rsidRPr="00DB3432" w:rsidRDefault="00DB3432" w:rsidP="00DB3432">
      <w:pPr>
        <w:pStyle w:val="Default"/>
        <w:spacing w:after="175"/>
        <w:rPr>
          <w:sz w:val="22"/>
          <w:szCs w:val="22"/>
        </w:rPr>
      </w:pPr>
      <w:r w:rsidRPr="00DB3432">
        <w:rPr>
          <w:sz w:val="22"/>
          <w:szCs w:val="22"/>
        </w:rPr>
        <w:t>Grants provided in excess of the Small Amounts of Financial Assistance Allowance may not be granted to applicants that were defined as an ‘undertaking in difficulty</w:t>
      </w:r>
      <w:proofErr w:type="gramStart"/>
      <w:r w:rsidRPr="00DB3432">
        <w:rPr>
          <w:sz w:val="22"/>
          <w:szCs w:val="22"/>
        </w:rPr>
        <w:t>’  on</w:t>
      </w:r>
      <w:proofErr w:type="gramEnd"/>
      <w:r w:rsidRPr="00DB3432">
        <w:rPr>
          <w:sz w:val="22"/>
          <w:szCs w:val="22"/>
        </w:rPr>
        <w:t xml:space="preserve"> 31 December 2019. In derogation to the above, grants can be granted to micro or small enterprises (as defined above) that were already in difficulty on 31 December 2019 </w:t>
      </w:r>
      <w:proofErr w:type="gramStart"/>
      <w:r w:rsidRPr="00DB3432">
        <w:rPr>
          <w:sz w:val="22"/>
          <w:szCs w:val="22"/>
        </w:rPr>
        <w:t>provided that</w:t>
      </w:r>
      <w:proofErr w:type="gramEnd"/>
      <w:r w:rsidRPr="00DB3432">
        <w:rPr>
          <w:sz w:val="22"/>
          <w:szCs w:val="22"/>
        </w:rPr>
        <w:t xml:space="preserve"> they are not subject to collective insolvency proceedings. </w:t>
      </w:r>
    </w:p>
    <w:p w14:paraId="0381F9DF" w14:textId="77777777" w:rsidR="00DB3432" w:rsidRPr="00DB3432" w:rsidRDefault="00DB3432" w:rsidP="00DB3432">
      <w:pPr>
        <w:pStyle w:val="Default"/>
        <w:rPr>
          <w:b/>
          <w:bCs/>
          <w:sz w:val="22"/>
          <w:szCs w:val="22"/>
        </w:rPr>
      </w:pPr>
      <w:r w:rsidRPr="00DB3432">
        <w:rPr>
          <w:b/>
          <w:bCs/>
          <w:sz w:val="22"/>
          <w:szCs w:val="22"/>
        </w:rPr>
        <w:t>Additional Note</w:t>
      </w:r>
    </w:p>
    <w:p w14:paraId="2A99EF17" w14:textId="2C5B9789" w:rsidR="00DB3432" w:rsidRPr="00DB3432" w:rsidRDefault="00DB3432" w:rsidP="00DB3432">
      <w:pPr>
        <w:rPr>
          <w:rFonts w:ascii="Arial" w:hAnsi="Arial" w:cs="Arial"/>
          <w:color w:val="000000"/>
        </w:rPr>
      </w:pPr>
      <w:r w:rsidRPr="00DB3432">
        <w:rPr>
          <w:rFonts w:ascii="Arial" w:hAnsi="Arial" w:cs="Arial"/>
        </w:rPr>
        <w:t>For the avoidance of doubt, grants under the Small Amounts of Financial Assistance Allowance, the COVID-19 Business Grant Allowance and the COVID-19 Business Grant Special Allowance may be combined for a potential total allowance of £10,935,000 (</w:t>
      </w:r>
      <w:proofErr w:type="gramStart"/>
      <w:r w:rsidRPr="00DB3432">
        <w:rPr>
          <w:rFonts w:ascii="Arial" w:hAnsi="Arial" w:cs="Arial"/>
        </w:rPr>
        <w:t>taking into account</w:t>
      </w:r>
      <w:proofErr w:type="gramEnd"/>
      <w:r w:rsidRPr="00DB3432">
        <w:rPr>
          <w:rFonts w:ascii="Arial" w:hAnsi="Arial" w:cs="Arial"/>
        </w:rPr>
        <w:t xml:space="preserve"> all grants previously received under the COVID-19 business grants schemes and subject to the exact amount applicable under the Small Amounts of Financial Assistance Allowance using the Special Drawing Right calculator).</w:t>
      </w:r>
    </w:p>
    <w:sectPr w:rsidR="00DB3432" w:rsidRPr="00DB34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DB8B2" w14:textId="77777777" w:rsidR="004E0616" w:rsidRDefault="004E0616" w:rsidP="008333F6">
      <w:pPr>
        <w:spacing w:after="0" w:line="240" w:lineRule="auto"/>
      </w:pPr>
      <w:r>
        <w:separator/>
      </w:r>
    </w:p>
  </w:endnote>
  <w:endnote w:type="continuationSeparator" w:id="0">
    <w:p w14:paraId="5648B736" w14:textId="77777777" w:rsidR="004E0616" w:rsidRDefault="004E0616" w:rsidP="0083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36D64" w14:textId="77777777" w:rsidR="004E0616" w:rsidRDefault="004E0616" w:rsidP="008333F6">
      <w:pPr>
        <w:spacing w:after="0" w:line="240" w:lineRule="auto"/>
      </w:pPr>
      <w:r>
        <w:separator/>
      </w:r>
    </w:p>
  </w:footnote>
  <w:footnote w:type="continuationSeparator" w:id="0">
    <w:p w14:paraId="3EB19A6F" w14:textId="77777777" w:rsidR="004E0616" w:rsidRDefault="004E0616" w:rsidP="008333F6">
      <w:pPr>
        <w:spacing w:after="0" w:line="240" w:lineRule="auto"/>
      </w:pPr>
      <w:r>
        <w:continuationSeparator/>
      </w:r>
    </w:p>
  </w:footnote>
  <w:footnote w:id="1">
    <w:p w14:paraId="50D12D19" w14:textId="77777777" w:rsidR="00DB3432" w:rsidRDefault="00DB3432" w:rsidP="00DB3432">
      <w:pPr>
        <w:pStyle w:val="FootnoteText"/>
      </w:pPr>
      <w:r>
        <w:rPr>
          <w:rStyle w:val="FootnoteReference"/>
        </w:rPr>
        <w:footnoteRef/>
      </w:r>
      <w:r>
        <w:t xml:space="preserve"> </w:t>
      </w:r>
      <w:r w:rsidRPr="00A2049B">
        <w:t>The Special Drawing Right calculator here can be used to calculate the exchange rate on the day the subsidy is awarded: https://coinmill.com/SDR_calculator.html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A2C5A"/>
    <w:multiLevelType w:val="hybridMultilevel"/>
    <w:tmpl w:val="8CCC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B422C"/>
    <w:multiLevelType w:val="hybridMultilevel"/>
    <w:tmpl w:val="C20C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32EBB"/>
    <w:multiLevelType w:val="hybridMultilevel"/>
    <w:tmpl w:val="E7288D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8C9129B"/>
    <w:multiLevelType w:val="hybridMultilevel"/>
    <w:tmpl w:val="FE50F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2085B"/>
    <w:multiLevelType w:val="hybridMultilevel"/>
    <w:tmpl w:val="7F88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F3995"/>
    <w:multiLevelType w:val="hybridMultilevel"/>
    <w:tmpl w:val="AF82C5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646B323B"/>
    <w:multiLevelType w:val="hybridMultilevel"/>
    <w:tmpl w:val="8E5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D13774"/>
    <w:multiLevelType w:val="hybridMultilevel"/>
    <w:tmpl w:val="1964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F6"/>
    <w:rsid w:val="00017230"/>
    <w:rsid w:val="000327A9"/>
    <w:rsid w:val="000A40EB"/>
    <w:rsid w:val="000C16B0"/>
    <w:rsid w:val="000C366B"/>
    <w:rsid w:val="000D5E3B"/>
    <w:rsid w:val="000F092A"/>
    <w:rsid w:val="00115BBE"/>
    <w:rsid w:val="00146C43"/>
    <w:rsid w:val="00151EE7"/>
    <w:rsid w:val="001971E6"/>
    <w:rsid w:val="001C1ADE"/>
    <w:rsid w:val="002666AE"/>
    <w:rsid w:val="0027266D"/>
    <w:rsid w:val="002A00D5"/>
    <w:rsid w:val="002A4021"/>
    <w:rsid w:val="002B5D11"/>
    <w:rsid w:val="002C2E76"/>
    <w:rsid w:val="002E0D16"/>
    <w:rsid w:val="00326F58"/>
    <w:rsid w:val="003436D3"/>
    <w:rsid w:val="00345C35"/>
    <w:rsid w:val="003575D9"/>
    <w:rsid w:val="00382A6E"/>
    <w:rsid w:val="00385ACB"/>
    <w:rsid w:val="003B4800"/>
    <w:rsid w:val="00422EA8"/>
    <w:rsid w:val="0043200D"/>
    <w:rsid w:val="00432686"/>
    <w:rsid w:val="00433CA5"/>
    <w:rsid w:val="00456488"/>
    <w:rsid w:val="00461F0D"/>
    <w:rsid w:val="00475E0E"/>
    <w:rsid w:val="004D114A"/>
    <w:rsid w:val="004E0616"/>
    <w:rsid w:val="004F09A2"/>
    <w:rsid w:val="00522532"/>
    <w:rsid w:val="0054570D"/>
    <w:rsid w:val="00552F51"/>
    <w:rsid w:val="00625F8C"/>
    <w:rsid w:val="00642DC4"/>
    <w:rsid w:val="00650EB4"/>
    <w:rsid w:val="006560D8"/>
    <w:rsid w:val="006B721B"/>
    <w:rsid w:val="006C0CA2"/>
    <w:rsid w:val="006E10FB"/>
    <w:rsid w:val="006F48C1"/>
    <w:rsid w:val="00727852"/>
    <w:rsid w:val="00777F18"/>
    <w:rsid w:val="00780765"/>
    <w:rsid w:val="007E0156"/>
    <w:rsid w:val="008333F6"/>
    <w:rsid w:val="0084136E"/>
    <w:rsid w:val="00864A93"/>
    <w:rsid w:val="00872C6B"/>
    <w:rsid w:val="008869DB"/>
    <w:rsid w:val="008904A5"/>
    <w:rsid w:val="008B725F"/>
    <w:rsid w:val="008C56B0"/>
    <w:rsid w:val="008D3040"/>
    <w:rsid w:val="00900F98"/>
    <w:rsid w:val="00924B74"/>
    <w:rsid w:val="00956024"/>
    <w:rsid w:val="009B2216"/>
    <w:rsid w:val="009C43D5"/>
    <w:rsid w:val="009C78D1"/>
    <w:rsid w:val="009E36D2"/>
    <w:rsid w:val="00A00DB3"/>
    <w:rsid w:val="00A16D14"/>
    <w:rsid w:val="00A17DD4"/>
    <w:rsid w:val="00A36654"/>
    <w:rsid w:val="00A53C71"/>
    <w:rsid w:val="00A6775C"/>
    <w:rsid w:val="00A8643C"/>
    <w:rsid w:val="00AC3D31"/>
    <w:rsid w:val="00AE2DDA"/>
    <w:rsid w:val="00AF024F"/>
    <w:rsid w:val="00B01FF7"/>
    <w:rsid w:val="00B109E1"/>
    <w:rsid w:val="00B40085"/>
    <w:rsid w:val="00B53D8E"/>
    <w:rsid w:val="00B55613"/>
    <w:rsid w:val="00B779CA"/>
    <w:rsid w:val="00B80DA6"/>
    <w:rsid w:val="00B96258"/>
    <w:rsid w:val="00BA4830"/>
    <w:rsid w:val="00BB2202"/>
    <w:rsid w:val="00BF1E1E"/>
    <w:rsid w:val="00C61C1E"/>
    <w:rsid w:val="00C67DFC"/>
    <w:rsid w:val="00CC3512"/>
    <w:rsid w:val="00CE31CC"/>
    <w:rsid w:val="00D106BD"/>
    <w:rsid w:val="00D51BC3"/>
    <w:rsid w:val="00D6328B"/>
    <w:rsid w:val="00D750D1"/>
    <w:rsid w:val="00D80F7D"/>
    <w:rsid w:val="00D8320C"/>
    <w:rsid w:val="00D84C72"/>
    <w:rsid w:val="00DB05D7"/>
    <w:rsid w:val="00DB2384"/>
    <w:rsid w:val="00DB3432"/>
    <w:rsid w:val="00DC251E"/>
    <w:rsid w:val="00DE27CB"/>
    <w:rsid w:val="00DE3AC7"/>
    <w:rsid w:val="00E037BB"/>
    <w:rsid w:val="00E4660F"/>
    <w:rsid w:val="00E54C53"/>
    <w:rsid w:val="00E97ABC"/>
    <w:rsid w:val="00EA0D3C"/>
    <w:rsid w:val="00F12779"/>
    <w:rsid w:val="00F327E5"/>
    <w:rsid w:val="00F350B1"/>
    <w:rsid w:val="00F431DA"/>
    <w:rsid w:val="00F5633E"/>
    <w:rsid w:val="00F64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8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3F6"/>
    <w:rPr>
      <w:color w:val="0000FF" w:themeColor="hyperlink"/>
      <w:u w:val="single"/>
    </w:rPr>
  </w:style>
  <w:style w:type="paragraph" w:styleId="ListParagraph">
    <w:name w:val="List Paragraph"/>
    <w:basedOn w:val="Normal"/>
    <w:uiPriority w:val="34"/>
    <w:qFormat/>
    <w:rsid w:val="00B779CA"/>
    <w:pPr>
      <w:ind w:left="720"/>
      <w:contextualSpacing/>
    </w:pPr>
  </w:style>
  <w:style w:type="character" w:styleId="UnresolvedMention">
    <w:name w:val="Unresolved Mention"/>
    <w:basedOn w:val="DefaultParagraphFont"/>
    <w:uiPriority w:val="99"/>
    <w:semiHidden/>
    <w:unhideWhenUsed/>
    <w:rsid w:val="00900F98"/>
    <w:rPr>
      <w:color w:val="605E5C"/>
      <w:shd w:val="clear" w:color="auto" w:fill="E1DFDD"/>
    </w:rPr>
  </w:style>
  <w:style w:type="character" w:styleId="CommentReference">
    <w:name w:val="annotation reference"/>
    <w:basedOn w:val="DefaultParagraphFont"/>
    <w:uiPriority w:val="99"/>
    <w:semiHidden/>
    <w:unhideWhenUsed/>
    <w:rsid w:val="006F48C1"/>
    <w:rPr>
      <w:sz w:val="16"/>
      <w:szCs w:val="16"/>
    </w:rPr>
  </w:style>
  <w:style w:type="paragraph" w:styleId="CommentText">
    <w:name w:val="annotation text"/>
    <w:basedOn w:val="Normal"/>
    <w:link w:val="CommentTextChar"/>
    <w:uiPriority w:val="99"/>
    <w:semiHidden/>
    <w:unhideWhenUsed/>
    <w:rsid w:val="006F48C1"/>
    <w:pPr>
      <w:spacing w:line="240" w:lineRule="auto"/>
    </w:pPr>
    <w:rPr>
      <w:sz w:val="20"/>
      <w:szCs w:val="20"/>
    </w:rPr>
  </w:style>
  <w:style w:type="character" w:customStyle="1" w:styleId="CommentTextChar">
    <w:name w:val="Comment Text Char"/>
    <w:basedOn w:val="DefaultParagraphFont"/>
    <w:link w:val="CommentText"/>
    <w:uiPriority w:val="99"/>
    <w:semiHidden/>
    <w:rsid w:val="006F48C1"/>
    <w:rPr>
      <w:sz w:val="20"/>
      <w:szCs w:val="20"/>
    </w:rPr>
  </w:style>
  <w:style w:type="paragraph" w:styleId="CommentSubject">
    <w:name w:val="annotation subject"/>
    <w:basedOn w:val="CommentText"/>
    <w:next w:val="CommentText"/>
    <w:link w:val="CommentSubjectChar"/>
    <w:uiPriority w:val="99"/>
    <w:semiHidden/>
    <w:unhideWhenUsed/>
    <w:rsid w:val="006F48C1"/>
    <w:rPr>
      <w:b/>
      <w:bCs/>
    </w:rPr>
  </w:style>
  <w:style w:type="character" w:customStyle="1" w:styleId="CommentSubjectChar">
    <w:name w:val="Comment Subject Char"/>
    <w:basedOn w:val="CommentTextChar"/>
    <w:link w:val="CommentSubject"/>
    <w:uiPriority w:val="99"/>
    <w:semiHidden/>
    <w:rsid w:val="006F48C1"/>
    <w:rPr>
      <w:b/>
      <w:bCs/>
      <w:sz w:val="20"/>
      <w:szCs w:val="20"/>
    </w:rPr>
  </w:style>
  <w:style w:type="paragraph" w:customStyle="1" w:styleId="Default">
    <w:name w:val="Default"/>
    <w:rsid w:val="000C16B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15BBE"/>
    <w:pPr>
      <w:spacing w:after="0" w:line="240" w:lineRule="auto"/>
    </w:pPr>
  </w:style>
  <w:style w:type="paragraph" w:styleId="FootnoteText">
    <w:name w:val="footnote text"/>
    <w:basedOn w:val="Normal"/>
    <w:link w:val="FootnoteTextChar"/>
    <w:uiPriority w:val="99"/>
    <w:semiHidden/>
    <w:unhideWhenUsed/>
    <w:rsid w:val="00DB3432"/>
    <w:pPr>
      <w:spacing w:after="0" w:line="240" w:lineRule="auto"/>
    </w:pPr>
    <w:rPr>
      <w:rFonts w:ascii="Arial" w:eastAsia="Calibri" w:hAnsi="Arial" w:cs="Times New Roman"/>
      <w:sz w:val="20"/>
      <w:szCs w:val="20"/>
      <w:lang w:bidi="en-US"/>
    </w:rPr>
  </w:style>
  <w:style w:type="character" w:customStyle="1" w:styleId="FootnoteTextChar">
    <w:name w:val="Footnote Text Char"/>
    <w:basedOn w:val="DefaultParagraphFont"/>
    <w:link w:val="FootnoteText"/>
    <w:uiPriority w:val="99"/>
    <w:semiHidden/>
    <w:rsid w:val="00DB3432"/>
    <w:rPr>
      <w:rFonts w:ascii="Arial" w:eastAsia="Calibri" w:hAnsi="Arial" w:cs="Times New Roman"/>
      <w:sz w:val="20"/>
      <w:szCs w:val="20"/>
      <w:lang w:bidi="en-US"/>
    </w:rPr>
  </w:style>
  <w:style w:type="character" w:styleId="FootnoteReference">
    <w:name w:val="footnote reference"/>
    <w:basedOn w:val="DefaultParagraphFont"/>
    <w:uiPriority w:val="99"/>
    <w:semiHidden/>
    <w:unhideWhenUsed/>
    <w:rsid w:val="00DB3432"/>
    <w:rPr>
      <w:vertAlign w:val="superscript"/>
    </w:rPr>
  </w:style>
  <w:style w:type="paragraph" w:styleId="Header">
    <w:name w:val="header"/>
    <w:basedOn w:val="Normal"/>
    <w:link w:val="HeaderChar"/>
    <w:uiPriority w:val="99"/>
    <w:unhideWhenUsed/>
    <w:rsid w:val="00E54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C53"/>
  </w:style>
  <w:style w:type="paragraph" w:styleId="Footer">
    <w:name w:val="footer"/>
    <w:basedOn w:val="Normal"/>
    <w:link w:val="FooterChar"/>
    <w:uiPriority w:val="99"/>
    <w:unhideWhenUsed/>
    <w:rsid w:val="00E54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8721</Characters>
  <Application>Microsoft Office Word</Application>
  <DocSecurity>0</DocSecurity>
  <Lines>72</Lines>
  <Paragraphs>20</Paragraphs>
  <ScaleCrop>false</ScaleCrop>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2021-12-09T14:02:00Z</dcterms:created>
  <dcterms:modified xsi:type="dcterms:W3CDTF">2021-12-09T14:02:00Z</dcterms:modified>
</cp:coreProperties>
</file>